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C8E9">
      <w:pPr>
        <w:spacing w:line="360" w:lineRule="auto"/>
        <w:rPr>
          <w:rFonts w:hint="eastAsia" w:eastAsia="仿宋_GB2312"/>
          <w:color w:val="auto"/>
          <w:kern w:val="0"/>
          <w:sz w:val="32"/>
          <w:szCs w:val="32"/>
        </w:rPr>
      </w:pPr>
      <w:bookmarkStart w:id="0" w:name="_GoBack"/>
      <w:bookmarkEnd w:id="0"/>
      <w:r>
        <w:rPr>
          <w:rFonts w:hint="eastAsia" w:eastAsia="仿宋_GB2312"/>
          <w:color w:val="auto"/>
          <w:kern w:val="0"/>
          <w:sz w:val="32"/>
          <w:szCs w:val="32"/>
        </w:rPr>
        <w:t>附件2：</w:t>
      </w:r>
    </w:p>
    <w:p w14:paraId="59841CCD">
      <w:pPr>
        <w:spacing w:line="360" w:lineRule="auto"/>
        <w:rPr>
          <w:rFonts w:hint="eastAsia" w:eastAsia="仿宋_GB2312"/>
          <w:color w:val="auto"/>
          <w:kern w:val="0"/>
          <w:sz w:val="32"/>
          <w:szCs w:val="32"/>
        </w:rPr>
      </w:pPr>
    </w:p>
    <w:p w14:paraId="782118D4">
      <w:pPr>
        <w:spacing w:after="156" w:afterLines="50"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湖北省职称评审专精特新企业工程系列</w:t>
      </w:r>
    </w:p>
    <w:p w14:paraId="6F47E593">
      <w:pPr>
        <w:spacing w:after="156" w:afterLines="50"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举荐报告</w:t>
      </w:r>
    </w:p>
    <w:p w14:paraId="28469452">
      <w:pPr>
        <w:snapToGrid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湖北省专精特新企业工程系列高级职称评审委员会：</w:t>
      </w:r>
    </w:p>
    <w:p w14:paraId="3DDF7A99">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eastAsia="仿宋_GB2312"/>
          <w:color w:val="auto"/>
          <w:sz w:val="32"/>
          <w:szCs w:val="32"/>
        </w:rPr>
        <w:t>《省人力资源和社会保障厅 省经济和信息化厅印发&lt;关于</w:t>
      </w:r>
      <w:r>
        <w:rPr>
          <w:rFonts w:hint="eastAsia" w:ascii="仿宋_GB2312" w:hAnsi="仿宋_GB2312" w:eastAsia="仿宋_GB2312" w:cs="仿宋_GB2312"/>
          <w:color w:val="auto"/>
          <w:sz w:val="32"/>
          <w:szCs w:val="32"/>
        </w:rPr>
        <w:t>创新湖北省专精特新和制造业单项冠军企业职称评审机制的若干措施（试行）</w:t>
      </w:r>
      <w:r>
        <w:rPr>
          <w:rFonts w:hint="eastAsia" w:eastAsia="仿宋_GB2312"/>
          <w:color w:val="auto"/>
          <w:sz w:val="32"/>
          <w:szCs w:val="32"/>
        </w:rPr>
        <w:t>&gt;的通知》</w:t>
      </w:r>
      <w:r>
        <w:rPr>
          <w:rFonts w:hint="eastAsia" w:ascii="仿宋_GB2312" w:hAnsi="仿宋_GB2312" w:eastAsia="仿宋_GB2312" w:cs="仿宋_GB2312"/>
          <w:color w:val="auto"/>
          <w:sz w:val="32"/>
          <w:szCs w:val="32"/>
        </w:rPr>
        <w:t>（鄂人社发〔2024〕32号）《关于做好2025年度全省专精特新中小企业和制造业单项冠军企业职称评审有关工作的通知》（鄂经信人事〔2025〕67号）文件要求，我公司作为国家级/省级专精特新特新/制造业单项冠军企业，本年度可举荐申报正高级/高级职称*人。</w:t>
      </w:r>
    </w:p>
    <w:p w14:paraId="269D5429">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按照公开、民主、平等、择优的原则，经过内部对比、推荐、公示，公司认为**等*人在技术创新能力、业绩成果、企业贡献等方面具有突出优势，拟推荐参加</w:t>
      </w:r>
      <w:r>
        <w:rPr>
          <w:rFonts w:hint="eastAsia" w:ascii="仿宋_GB2312" w:hAnsi="仿宋_GB2312" w:eastAsia="仿宋_GB2312" w:cs="仿宋_GB2312"/>
          <w:color w:val="auto"/>
          <w:sz w:val="32"/>
          <w:szCs w:val="32"/>
          <w:u w:val="single"/>
        </w:rPr>
        <w:t>2025年度专精特新企业工程系列水平能力测试</w:t>
      </w:r>
      <w:r>
        <w:rPr>
          <w:rFonts w:hint="eastAsia" w:ascii="仿宋_GB2312" w:hAnsi="仿宋_GB2312" w:eastAsia="仿宋_GB2312" w:cs="仿宋_GB2312"/>
          <w:color w:val="auto"/>
          <w:sz w:val="32"/>
          <w:szCs w:val="32"/>
        </w:rPr>
        <w:t>。被举荐人员具体情况如下：</w:t>
      </w:r>
    </w:p>
    <w:p w14:paraId="6F5F6538">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被举荐人1：姓名，性别，出生年月，现专业技术岗位和职务，本公司工作年限，主要成果/贡献，推荐申报职称为正高级/高级工程师。</w:t>
      </w:r>
    </w:p>
    <w:p w14:paraId="2896BEE5">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被举荐人2：……</w:t>
      </w:r>
    </w:p>
    <w:p w14:paraId="0B7501D3">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我公司严格按照职称申报举荐责任制要求开展举荐工作，承诺在本次举荐工作中报送的材料均客观真实，绝无弄虚作假、包庇纵容的行为，并承诺对举荐行为负责。</w:t>
      </w:r>
    </w:p>
    <w:p w14:paraId="1310AF61">
      <w:pPr>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特此报告。</w:t>
      </w:r>
    </w:p>
    <w:p w14:paraId="612F6701">
      <w:pPr>
        <w:snapToGrid w:val="0"/>
        <w:spacing w:line="600" w:lineRule="exact"/>
        <w:ind w:firstLine="640" w:firstLineChars="200"/>
        <w:rPr>
          <w:rFonts w:hint="eastAsia" w:ascii="仿宋_GB2312" w:hAnsi="仿宋_GB2312" w:eastAsia="仿宋_GB2312" w:cs="仿宋_GB2312"/>
          <w:color w:val="auto"/>
          <w:sz w:val="32"/>
          <w:szCs w:val="32"/>
        </w:rPr>
      </w:pPr>
    </w:p>
    <w:p w14:paraId="20FE4158">
      <w:pPr>
        <w:snapToGrid w:val="0"/>
        <w:spacing w:line="600" w:lineRule="exact"/>
        <w:ind w:firstLine="640" w:firstLineChars="200"/>
        <w:rPr>
          <w:rFonts w:hint="eastAsia" w:ascii="仿宋_GB2312" w:hAnsi="仿宋_GB2312" w:eastAsia="仿宋_GB2312" w:cs="仿宋_GB2312"/>
          <w:color w:val="auto"/>
          <w:sz w:val="32"/>
          <w:szCs w:val="32"/>
        </w:rPr>
      </w:pPr>
    </w:p>
    <w:p w14:paraId="7E6A64BC">
      <w:pPr>
        <w:snapToGrid w:val="0"/>
        <w:spacing w:line="60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**企业（盖章）</w:t>
      </w:r>
    </w:p>
    <w:p w14:paraId="1740CE3A">
      <w:pPr>
        <w:snapToGrid w:val="0"/>
        <w:spacing w:line="60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0FC682B0"/>
    <w:sectPr>
      <w:headerReference r:id="rId3" w:type="default"/>
      <w:footerReference r:id="rId4" w:type="default"/>
      <w:pgSz w:w="11906" w:h="16838"/>
      <w:pgMar w:top="1383" w:right="1746" w:bottom="1383" w:left="17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419717A-AC6C-4A61-9E41-449C566D0B8A}"/>
  </w:font>
  <w:font w:name="仿宋_GB2312">
    <w:panose1 w:val="02010609030101010101"/>
    <w:charset w:val="86"/>
    <w:family w:val="auto"/>
    <w:pitch w:val="default"/>
    <w:sig w:usb0="00000001" w:usb1="080E0000" w:usb2="00000000" w:usb3="00000000" w:csb0="00040000" w:csb1="00000000"/>
    <w:embedRegular r:id="rId2" w:fontKey="{DECFBD06-9319-44AD-A405-FAC136DE1040}"/>
  </w:font>
  <w:font w:name="方正楷体_GB2312">
    <w:panose1 w:val="02000000000000000000"/>
    <w:charset w:val="86"/>
    <w:family w:val="auto"/>
    <w:pitch w:val="default"/>
    <w:sig w:usb0="A00002BF" w:usb1="184F6CFA" w:usb2="00000012" w:usb3="00000000" w:csb0="00040001" w:csb1="00000000"/>
  </w:font>
  <w:font w:name="Songti SC">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0010101010101"/>
    <w:charset w:val="86"/>
    <w:family w:val="script"/>
    <w:pitch w:val="default"/>
    <w:sig w:usb0="00000001" w:usb1="080E0000" w:usb2="00000000" w:usb3="00000000" w:csb0="00040000" w:csb1="00000000"/>
    <w:embedRegular r:id="rId3" w:fontKey="{A94780E1-7C72-411C-9794-5042B5E057C5}"/>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C3C8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B8BF0F">
                          <w:pPr>
                            <w:pStyle w:val="1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- 6 -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4B8BF0F">
                    <w:pPr>
                      <w:pStyle w:val="1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- 6 -</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89F4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6ABCD"/>
    <w:multiLevelType w:val="multilevel"/>
    <w:tmpl w:val="1956ABCD"/>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A536E"/>
    <w:rsid w:val="048746A7"/>
    <w:rsid w:val="1BDB3B61"/>
    <w:rsid w:val="1DE676BF"/>
    <w:rsid w:val="21532454"/>
    <w:rsid w:val="24255ABF"/>
    <w:rsid w:val="27190F91"/>
    <w:rsid w:val="321F34EA"/>
    <w:rsid w:val="34CB3CAA"/>
    <w:rsid w:val="3A844255"/>
    <w:rsid w:val="3F5356B7"/>
    <w:rsid w:val="40956478"/>
    <w:rsid w:val="48855E27"/>
    <w:rsid w:val="4B5B02C7"/>
    <w:rsid w:val="4E974C94"/>
    <w:rsid w:val="525E094F"/>
    <w:rsid w:val="588840E5"/>
    <w:rsid w:val="594360F8"/>
    <w:rsid w:val="5AA8235D"/>
    <w:rsid w:val="66ED7E05"/>
    <w:rsid w:val="6A995F75"/>
    <w:rsid w:val="6B9062F3"/>
    <w:rsid w:val="6D51777A"/>
    <w:rsid w:val="6D7D5FAF"/>
    <w:rsid w:val="758A536E"/>
    <w:rsid w:val="76692017"/>
    <w:rsid w:val="78BB4A91"/>
    <w:rsid w:val="79424A4D"/>
    <w:rsid w:val="7FAC4DF9"/>
    <w:rsid w:val="7FF1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3"/>
    <w:qFormat/>
    <w:uiPriority w:val="0"/>
    <w:pPr>
      <w:keepNext/>
      <w:keepLines/>
      <w:numPr>
        <w:ilvl w:val="0"/>
        <w:numId w:val="1"/>
      </w:numPr>
      <w:spacing w:line="360" w:lineRule="auto"/>
      <w:ind w:firstLine="0" w:firstLineChars="0"/>
      <w:outlineLvl w:val="0"/>
    </w:pPr>
    <w:rPr>
      <w:rFonts w:eastAsia="黑体" w:asciiTheme="majorEastAsia" w:hAnsiTheme="majorEastAsia" w:cstheme="minorBidi"/>
      <w:bCs/>
      <w:kern w:val="44"/>
      <w:sz w:val="32"/>
      <w:szCs w:val="18"/>
      <w:lang w:val="en-US" w:eastAsia="zh-CN" w:bidi="ar-SA"/>
    </w:rPr>
  </w:style>
  <w:style w:type="paragraph" w:styleId="4">
    <w:name w:val="heading 2"/>
    <w:next w:val="3"/>
    <w:link w:val="16"/>
    <w:semiHidden/>
    <w:unhideWhenUsed/>
    <w:qFormat/>
    <w:uiPriority w:val="0"/>
    <w:pPr>
      <w:numPr>
        <w:ilvl w:val="1"/>
        <w:numId w:val="1"/>
      </w:numPr>
      <w:spacing w:before="80" w:beforeLines="80" w:after="80" w:afterLines="80" w:line="288" w:lineRule="auto"/>
      <w:ind w:left="0" w:firstLine="0" w:firstLineChars="0"/>
      <w:outlineLvl w:val="1"/>
    </w:pPr>
    <w:rPr>
      <w:rFonts w:ascii="Arial" w:hAnsi="Arial" w:eastAsia="方正楷体_GB2312" w:cstheme="minorBidi"/>
      <w:kern w:val="2"/>
      <w:sz w:val="32"/>
      <w:lang w:val="en-US" w:eastAsia="zh-CN" w:bidi="ar-SA"/>
    </w:rPr>
  </w:style>
  <w:style w:type="paragraph" w:styleId="5">
    <w:name w:val="heading 3"/>
    <w:basedOn w:val="1"/>
    <w:next w:val="1"/>
    <w:semiHidden/>
    <w:unhideWhenUsed/>
    <w:qFormat/>
    <w:uiPriority w:val="0"/>
    <w:pPr>
      <w:numPr>
        <w:ilvl w:val="2"/>
        <w:numId w:val="1"/>
      </w:numPr>
      <w:tabs>
        <w:tab w:val="left" w:pos="312"/>
        <w:tab w:val="clear" w:pos="0"/>
      </w:tabs>
      <w:spacing w:before="50" w:beforeLines="50" w:after="50" w:afterLines="50"/>
      <w:ind w:left="0" w:firstLine="400"/>
      <w:outlineLvl w:val="2"/>
    </w:pPr>
    <w:rPr>
      <w:rFonts w:ascii="Arial" w:hAnsi="Arial" w:eastAsia="黑体"/>
      <w:b/>
      <w:sz w:val="30"/>
      <w:szCs w:val="30"/>
    </w:rPr>
  </w:style>
  <w:style w:type="paragraph" w:styleId="6">
    <w:name w:val="heading 4"/>
    <w:basedOn w:val="1"/>
    <w:next w:val="1"/>
    <w:semiHidden/>
    <w:unhideWhenUsed/>
    <w:qFormat/>
    <w:uiPriority w:val="0"/>
    <w:pPr>
      <w:numPr>
        <w:ilvl w:val="3"/>
        <w:numId w:val="1"/>
      </w:numPr>
      <w:spacing w:before="80" w:beforeLines="80" w:after="80" w:afterLines="80"/>
      <w:ind w:left="0" w:firstLine="402"/>
      <w:outlineLvl w:val="3"/>
    </w:pPr>
    <w:rPr>
      <w:rFonts w:ascii="Arial" w:hAnsi="Arial" w:eastAsia="仿宋_GB2312" w:cstheme="minorBidi"/>
      <w:b/>
      <w:sz w:val="28"/>
    </w:rPr>
  </w:style>
  <w:style w:type="paragraph" w:styleId="7">
    <w:name w:val="heading 5"/>
    <w:next w:val="3"/>
    <w:semiHidden/>
    <w:unhideWhenUsed/>
    <w:qFormat/>
    <w:uiPriority w:val="0"/>
    <w:pPr>
      <w:numPr>
        <w:ilvl w:val="4"/>
        <w:numId w:val="1"/>
      </w:numPr>
      <w:tabs>
        <w:tab w:val="left" w:pos="312"/>
        <w:tab w:val="clear" w:pos="0"/>
      </w:tabs>
      <w:spacing w:before="30" w:beforeLines="30" w:after="30" w:afterLines="30" w:line="360" w:lineRule="auto"/>
      <w:ind w:left="0" w:firstLine="402"/>
      <w:outlineLvl w:val="4"/>
    </w:pPr>
    <w:rPr>
      <w:rFonts w:ascii="Arial" w:hAnsi="Arial" w:eastAsiaTheme="majorEastAsia" w:cstheme="minorBidi"/>
      <w:b/>
      <w:sz w:val="24"/>
      <w:szCs w:val="22"/>
      <w:lang w:val="en-US" w:eastAsia="zh-CN" w:bidi="ar-SA"/>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标题 2 Char"/>
    <w:link w:val="4"/>
    <w:qFormat/>
    <w:uiPriority w:val="0"/>
    <w:rPr>
      <w:rFonts w:ascii="Arial" w:hAnsi="Arial" w:eastAsia="方正楷体_GB2312" w:cstheme="minorBidi"/>
      <w:kern w:val="2"/>
      <w:sz w:val="32"/>
      <w:lang w:val="en-US" w:eastAsia="zh-CN" w:bidi="ar-SA"/>
    </w:rPr>
  </w:style>
  <w:style w:type="paragraph" w:customStyle="1" w:styleId="17">
    <w:name w:val="样式2"/>
    <w:basedOn w:val="1"/>
    <w:qFormat/>
    <w:uiPriority w:val="0"/>
    <w:rPr>
      <w:rFonts w:hint="eastAsia" w:ascii="Songti SC" w:hAnsi="Songti SC" w:eastAsia="仿宋_GB2312"/>
      <w:sz w:val="24"/>
    </w:rPr>
  </w:style>
  <w:style w:type="paragraph" w:customStyle="1" w:styleId="18">
    <w:name w:val="样式3"/>
    <w:basedOn w:val="1"/>
    <w:uiPriority w:val="0"/>
    <w:pPr>
      <w:ind w:firstLine="480" w:firstLineChars="200"/>
    </w:pPr>
    <w:rPr>
      <w:rFonts w:hint="eastAsia" w:ascii="仿宋_GB2312" w:hAnsi="仿宋_GB2312" w:eastAsia="仿宋_GB2312" w:cs="仿宋_GB2312"/>
      <w:sz w:val="24"/>
    </w:rPr>
  </w:style>
  <w:style w:type="paragraph" w:customStyle="1" w:styleId="19">
    <w:name w:val="样式4"/>
    <w:basedOn w:val="1"/>
    <w:uiPriority w:val="0"/>
    <w:rPr>
      <w:rFonts w:hint="eastAsia" w:ascii="仿宋_GB2312" w:hAnsi="仿宋_GB2312" w:eastAsia="仿宋_GB2312" w:cs="仿宋_GB2312"/>
      <w:sz w:val="28"/>
    </w:rPr>
  </w:style>
  <w:style w:type="paragraph" w:customStyle="1" w:styleId="20">
    <w:name w:val="样式5"/>
    <w:basedOn w:val="1"/>
    <w:qFormat/>
    <w:uiPriority w:val="0"/>
    <w:rPr>
      <w:rFonts w:hint="eastAsia" w:ascii="仿宋_GB2312" w:hAnsi="仿宋_GB2312" w:eastAsia="仿宋_GB2312" w:cs="仿宋_GB2312"/>
      <w:sz w:val="28"/>
    </w:rPr>
  </w:style>
  <w:style w:type="paragraph" w:customStyle="1" w:styleId="21">
    <w:name w:val="样式6"/>
    <w:basedOn w:val="1"/>
    <w:qFormat/>
    <w:uiPriority w:val="0"/>
    <w:rPr>
      <w:rFonts w:hint="eastAsia" w:ascii="仿宋_GB2312" w:hAnsi="仿宋_GB2312" w:eastAsia="仿宋_GB2312" w:cs="仿宋_GB2312"/>
      <w:sz w:val="28"/>
    </w:rPr>
  </w:style>
  <w:style w:type="paragraph" w:customStyle="1" w:styleId="22">
    <w:name w:val="样式7"/>
    <w:basedOn w:val="1"/>
    <w:qFormat/>
    <w:uiPriority w:val="0"/>
    <w:rPr>
      <w:rFonts w:hint="eastAsia" w:ascii="仿宋_GB2312" w:hAnsi="仿宋_GB2312" w:eastAsia="仿宋_GB2312" w:cs="仿宋_GB2312"/>
      <w:sz w:val="28"/>
    </w:rPr>
  </w:style>
  <w:style w:type="paragraph" w:customStyle="1" w:styleId="23">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2025-07-08T10:16:00Z</dcterms:created>
  <dc:creator>晚安</dc:creator>
  <cp:lastModifiedBy>晚安</cp:lastModifiedBy>
  <dcterms:modified xsi:type="dcterms:W3CDTF">2025-07-08T10:17:51Z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72CDC63049D246F38517B0CF4A805AC4_13</vt:lpwstr>
  </property>
  <property fmtid="{D5CDD505-2E9C-101B-9397-08002B2CF9AE}" pid="4" name="KSOTemplateDocerSaveRecord">
    <vt:lpwstr>eyJoZGlkIjoiZTNiMmJjMGUyMDNhMGI0MjllZTc4OTE3ODRjOTBjMWQiLCJ1c2VySWQiOiI1MDU5ODI0ODQifQ==</vt:lpwstr>
  </property>
</Properties>
</file>