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51" w:afterLines="80" w:line="600" w:lineRule="exact"/>
        <w:jc w:val="center"/>
        <w:textAlignment w:val="auto"/>
        <w:rPr>
          <w:rFonts w:hint="eastAsia" w:ascii="微软雅黑" w:hAnsi="微软雅黑" w:eastAsia="微软雅黑" w:cs="微软雅黑"/>
          <w:b/>
          <w:bCs w:val="0"/>
          <w:spacing w:val="11"/>
          <w:w w:val="110"/>
          <w:sz w:val="32"/>
          <w:szCs w:val="32"/>
          <w:lang w:eastAsia="zh-CN"/>
        </w:rPr>
      </w:pPr>
    </w:p>
    <w:p>
      <w:pPr>
        <w:keepNext w:val="0"/>
        <w:keepLines w:val="0"/>
        <w:pageBreakBefore w:val="0"/>
        <w:widowControl w:val="0"/>
        <w:kinsoku/>
        <w:wordWrap/>
        <w:overflowPunct/>
        <w:topLinePunct w:val="0"/>
        <w:autoSpaceDE/>
        <w:autoSpaceDN/>
        <w:bidi w:val="0"/>
        <w:adjustRightInd/>
        <w:snapToGrid/>
        <w:spacing w:after="95" w:afterLines="30" w:line="600" w:lineRule="exact"/>
        <w:jc w:val="center"/>
        <w:textAlignment w:val="auto"/>
        <w:rPr>
          <w:rFonts w:hint="eastAsia" w:ascii="微软雅黑" w:hAnsi="微软雅黑" w:eastAsia="微软雅黑" w:cs="微软雅黑"/>
          <w:b/>
          <w:bCs w:val="0"/>
          <w:spacing w:val="-6"/>
          <w:w w:val="105"/>
          <w:sz w:val="48"/>
          <w:szCs w:val="48"/>
          <w:lang w:eastAsia="zh-CN"/>
        </w:rPr>
      </w:pPr>
      <w:r>
        <w:rPr>
          <w:rFonts w:hint="eastAsia" w:ascii="微软雅黑" w:hAnsi="微软雅黑" w:eastAsia="微软雅黑" w:cs="微软雅黑"/>
          <w:b/>
          <w:bCs w:val="0"/>
          <w:spacing w:val="-6"/>
          <w:w w:val="105"/>
          <w:sz w:val="48"/>
          <w:szCs w:val="48"/>
          <w:lang w:eastAsia="zh-CN"/>
        </w:rPr>
        <w:t>品牌创建相关政策解读</w:t>
      </w:r>
    </w:p>
    <w:p>
      <w:pPr>
        <w:keepNext w:val="0"/>
        <w:keepLines w:val="0"/>
        <w:pageBreakBefore w:val="0"/>
        <w:widowControl w:val="0"/>
        <w:kinsoku/>
        <w:wordWrap/>
        <w:overflowPunct/>
        <w:topLinePunct w:val="0"/>
        <w:autoSpaceDE/>
        <w:autoSpaceDN/>
        <w:bidi w:val="0"/>
        <w:adjustRightInd/>
        <w:snapToGrid/>
        <w:spacing w:line="180" w:lineRule="exact"/>
        <w:textAlignment w:val="auto"/>
      </w:pPr>
    </w:p>
    <w:p/>
    <w:p>
      <w:pPr>
        <w:pStyle w:val="2"/>
      </w:pPr>
    </w:p>
    <w:p/>
    <w:p>
      <w:pPr>
        <w:pStyle w:val="2"/>
      </w:pPr>
    </w:p>
    <w:p/>
    <w:p>
      <w:pPr>
        <w:pStyle w:val="2"/>
      </w:pPr>
    </w:p>
    <w:p/>
    <w:p>
      <w:pPr>
        <w:pStyle w:val="2"/>
        <w:jc w:val="center"/>
        <w:rPr>
          <w:rFonts w:hint="eastAsia" w:ascii="方正楷体简体" w:hAnsi="方正楷体简体" w:eastAsia="方正楷体简体" w:cs="方正楷体简体"/>
          <w:lang w:eastAsia="zh-CN"/>
        </w:rPr>
      </w:pPr>
      <w:r>
        <w:rPr>
          <w:rFonts w:hint="eastAsia" w:ascii="方正楷体简体" w:hAnsi="方正楷体简体" w:eastAsia="方正楷体简体" w:cs="方正楷体简体"/>
          <w:lang w:eastAsia="zh-CN"/>
        </w:rPr>
        <w:t>二〇二三年二月</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63" w:afterLines="20"/>
        <w:jc w:val="center"/>
        <w:textAlignment w:val="auto"/>
        <w:rPr>
          <w:rFonts w:hint="eastAsia" w:ascii="微软雅黑" w:hAnsi="微软雅黑" w:eastAsia="微软雅黑" w:cs="微软雅黑"/>
          <w:b/>
          <w:bCs w:val="0"/>
          <w:spacing w:val="20"/>
          <w:w w:val="100"/>
          <w:sz w:val="36"/>
          <w:szCs w:val="36"/>
          <w:lang w:eastAsia="zh-CN"/>
        </w:rPr>
      </w:pPr>
      <w:r>
        <w:rPr>
          <w:rFonts w:hint="eastAsia" w:ascii="微软雅黑" w:hAnsi="微软雅黑" w:eastAsia="微软雅黑" w:cs="微软雅黑"/>
          <w:b/>
          <w:bCs w:val="0"/>
          <w:spacing w:val="20"/>
          <w:w w:val="100"/>
          <w:sz w:val="36"/>
          <w:szCs w:val="36"/>
          <w:lang w:eastAsia="zh-CN"/>
        </w:rPr>
        <w:t>品牌创建联系方式</w:t>
      </w:r>
    </w:p>
    <w:tbl>
      <w:tblPr>
        <w:tblStyle w:val="8"/>
        <w:tblW w:w="57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565"/>
        <w:gridCol w:w="2080"/>
        <w:gridCol w:w="1140"/>
        <w:gridCol w:w="1259"/>
        <w:gridCol w:w="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2"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序号</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项</w:t>
            </w:r>
            <w:r>
              <w:rPr>
                <w:rFonts w:hint="eastAsia" w:ascii="宋体" w:hAnsi="宋体" w:eastAsia="宋体" w:cs="宋体"/>
                <w:b/>
                <w:bCs/>
                <w:sz w:val="20"/>
                <w:szCs w:val="20"/>
                <w:vertAlign w:val="baseline"/>
                <w:lang w:val="en-US" w:eastAsia="zh-CN"/>
              </w:rPr>
              <w:t xml:space="preserve"> </w:t>
            </w:r>
            <w:r>
              <w:rPr>
                <w:rFonts w:hint="eastAsia" w:ascii="宋体" w:hAnsi="宋体" w:eastAsia="宋体" w:cs="宋体"/>
                <w:b/>
                <w:bCs/>
                <w:sz w:val="20"/>
                <w:szCs w:val="20"/>
                <w:vertAlign w:val="baseline"/>
                <w:lang w:eastAsia="zh-CN"/>
              </w:rPr>
              <w:t>目</w:t>
            </w:r>
          </w:p>
        </w:tc>
        <w:tc>
          <w:tcPr>
            <w:tcW w:w="114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sz w:val="20"/>
                <w:szCs w:val="20"/>
                <w:vertAlign w:val="baseline"/>
                <w:lang w:eastAsia="zh-CN"/>
              </w:rPr>
            </w:pPr>
            <w:r>
              <w:rPr>
                <w:rFonts w:hint="eastAsia"/>
                <w:sz w:val="20"/>
                <w:szCs w:val="20"/>
                <w:vertAlign w:val="baseline"/>
                <w:lang w:eastAsia="zh-CN"/>
              </w:rPr>
              <w:t>联系人</w:t>
            </w:r>
          </w:p>
        </w:tc>
        <w:tc>
          <w:tcPr>
            <w:tcW w:w="125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sz w:val="20"/>
                <w:szCs w:val="20"/>
                <w:vertAlign w:val="baseline"/>
                <w:lang w:eastAsia="zh-CN"/>
              </w:rPr>
            </w:pPr>
            <w:r>
              <w:rPr>
                <w:rFonts w:hint="eastAsia"/>
                <w:sz w:val="20"/>
                <w:szCs w:val="20"/>
                <w:vertAlign w:val="baseline"/>
                <w:lang w:eastAsia="zh-CN"/>
              </w:rPr>
              <w:t>电</w:t>
            </w:r>
            <w:r>
              <w:rPr>
                <w:rFonts w:hint="eastAsia"/>
                <w:sz w:val="20"/>
                <w:szCs w:val="20"/>
                <w:vertAlign w:val="baseline"/>
                <w:lang w:val="en-US" w:eastAsia="zh-CN"/>
              </w:rPr>
              <w:t xml:space="preserve"> </w:t>
            </w:r>
            <w:r>
              <w:rPr>
                <w:rFonts w:hint="eastAsia"/>
                <w:sz w:val="20"/>
                <w:szCs w:val="20"/>
                <w:vertAlign w:val="baseline"/>
                <w:lang w:eastAsia="zh-CN"/>
              </w:rPr>
              <w:t>话</w:t>
            </w: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sz w:val="20"/>
                <w:szCs w:val="20"/>
                <w:vertAlign w:val="baseline"/>
                <w:lang w:eastAsia="zh-CN"/>
              </w:rPr>
            </w:pPr>
            <w:r>
              <w:rPr>
                <w:rFonts w:hint="eastAsia"/>
                <w:sz w:val="20"/>
                <w:szCs w:val="20"/>
                <w:vertAlign w:val="baseline"/>
                <w:lang w:eastAsia="zh-CN"/>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高新技术企业</w:t>
            </w:r>
          </w:p>
        </w:tc>
        <w:tc>
          <w:tcPr>
            <w:tcW w:w="1140"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r>
              <w:rPr>
                <w:rFonts w:hint="eastAsia" w:ascii="宋体" w:hAnsi="宋体"/>
                <w:b w:val="0"/>
                <w:bCs/>
                <w:sz w:val="20"/>
                <w:szCs w:val="20"/>
                <w:lang w:eastAsia="zh-CN"/>
              </w:rPr>
              <w:t>陶甜</w:t>
            </w:r>
          </w:p>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宋体" w:hAnsi="宋体"/>
                <w:b w:val="0"/>
                <w:bCs/>
                <w:sz w:val="20"/>
                <w:szCs w:val="20"/>
                <w:lang w:val="en-US" w:eastAsia="zh-CN"/>
              </w:rPr>
            </w:pPr>
            <w:r>
              <w:rPr>
                <w:rFonts w:hint="eastAsia" w:ascii="宋体" w:hAnsi="宋体"/>
                <w:b w:val="0"/>
                <w:bCs/>
                <w:sz w:val="20"/>
                <w:szCs w:val="20"/>
                <w:lang w:eastAsia="zh-CN"/>
              </w:rPr>
              <w:t>（高新股</w:t>
            </w:r>
            <w:r>
              <w:rPr>
                <w:rFonts w:hint="eastAsia" w:ascii="宋体" w:hAnsi="宋体"/>
                <w:b w:val="0"/>
                <w:bCs/>
                <w:sz w:val="20"/>
                <w:szCs w:val="20"/>
                <w:lang w:val="en-US" w:eastAsia="zh-CN"/>
              </w:rPr>
              <w:t>)</w:t>
            </w:r>
          </w:p>
        </w:tc>
        <w:tc>
          <w:tcPr>
            <w:tcW w:w="1259"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r>
              <w:rPr>
                <w:rFonts w:hint="eastAsia" w:ascii="宋体" w:hAnsi="宋体"/>
                <w:b w:val="0"/>
                <w:bCs/>
                <w:sz w:val="20"/>
                <w:szCs w:val="20"/>
              </w:rPr>
              <w:t>13597601704</w:t>
            </w: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2</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科创新物种</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3</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企校联合创新中心</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4</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两化融合试点示范</w:t>
            </w:r>
          </w:p>
        </w:tc>
        <w:tc>
          <w:tcPr>
            <w:tcW w:w="1140"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r>
              <w:rPr>
                <w:rFonts w:hint="eastAsia" w:ascii="宋体" w:hAnsi="宋体"/>
                <w:b w:val="0"/>
                <w:bCs/>
                <w:sz w:val="20"/>
                <w:szCs w:val="20"/>
                <w:lang w:eastAsia="zh-CN"/>
              </w:rPr>
              <w:t>尹建锋</w:t>
            </w:r>
          </w:p>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宋体" w:hAnsi="宋体"/>
                <w:b w:val="0"/>
                <w:bCs/>
                <w:sz w:val="20"/>
                <w:szCs w:val="20"/>
                <w:lang w:val="en-US" w:eastAsia="zh-CN"/>
              </w:rPr>
            </w:pPr>
            <w:r>
              <w:rPr>
                <w:rFonts w:hint="eastAsia" w:ascii="宋体" w:hAnsi="宋体"/>
                <w:b w:val="0"/>
                <w:bCs/>
                <w:sz w:val="20"/>
                <w:szCs w:val="20"/>
                <w:lang w:val="en-US" w:eastAsia="zh-CN"/>
              </w:rPr>
              <w:t>(</w:t>
            </w:r>
            <w:r>
              <w:rPr>
                <w:rFonts w:hint="eastAsia" w:ascii="宋体" w:hAnsi="宋体"/>
                <w:b w:val="0"/>
                <w:bCs/>
                <w:sz w:val="20"/>
                <w:szCs w:val="20"/>
                <w:lang w:eastAsia="zh-CN"/>
              </w:rPr>
              <w:t>信息化股</w:t>
            </w:r>
            <w:r>
              <w:rPr>
                <w:rFonts w:hint="eastAsia" w:ascii="宋体" w:hAnsi="宋体"/>
                <w:b w:val="0"/>
                <w:bCs/>
                <w:sz w:val="20"/>
                <w:szCs w:val="20"/>
                <w:lang w:val="en-US" w:eastAsia="zh-CN"/>
              </w:rPr>
              <w:t>)</w:t>
            </w:r>
          </w:p>
        </w:tc>
        <w:tc>
          <w:tcPr>
            <w:tcW w:w="1259"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r>
              <w:rPr>
                <w:rFonts w:hint="eastAsia" w:ascii="宋体" w:hAnsi="宋体"/>
                <w:b w:val="0"/>
                <w:bCs/>
                <w:sz w:val="20"/>
                <w:szCs w:val="20"/>
                <w:lang w:val="en-US" w:eastAsia="zh-CN"/>
              </w:rPr>
              <w:t>18827208388</w:t>
            </w: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5</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两化融合贯标</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6</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万企上云标杆企业</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7</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智能制造试点示范</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8</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新一代信息技术与制造业融合发展试点示范企业</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9</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工业技术改造项目</w:t>
            </w:r>
          </w:p>
        </w:tc>
        <w:tc>
          <w:tcPr>
            <w:tcW w:w="1140"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r>
              <w:rPr>
                <w:rFonts w:hint="eastAsia" w:ascii="宋体" w:hAnsi="宋体"/>
                <w:b w:val="0"/>
                <w:bCs/>
                <w:sz w:val="20"/>
                <w:szCs w:val="20"/>
                <w:lang w:eastAsia="zh-CN"/>
              </w:rPr>
              <w:t>黄坦</w:t>
            </w:r>
          </w:p>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宋体" w:hAnsi="宋体"/>
                <w:b w:val="0"/>
                <w:bCs/>
                <w:sz w:val="20"/>
                <w:szCs w:val="20"/>
                <w:lang w:val="en-US" w:eastAsia="zh-CN"/>
              </w:rPr>
            </w:pPr>
            <w:r>
              <w:rPr>
                <w:rFonts w:hint="eastAsia" w:ascii="宋体" w:hAnsi="宋体"/>
                <w:b w:val="0"/>
                <w:bCs/>
                <w:sz w:val="20"/>
                <w:szCs w:val="20"/>
                <w:lang w:val="en-US" w:eastAsia="zh-CN"/>
              </w:rPr>
              <w:t>(</w:t>
            </w:r>
            <w:r>
              <w:rPr>
                <w:rFonts w:hint="eastAsia" w:ascii="宋体" w:hAnsi="宋体"/>
                <w:b w:val="0"/>
                <w:bCs/>
                <w:sz w:val="20"/>
                <w:szCs w:val="20"/>
                <w:lang w:eastAsia="zh-CN"/>
              </w:rPr>
              <w:t>技改股</w:t>
            </w:r>
            <w:r>
              <w:rPr>
                <w:rFonts w:hint="eastAsia" w:ascii="宋体" w:hAnsi="宋体"/>
                <w:b w:val="0"/>
                <w:bCs/>
                <w:sz w:val="20"/>
                <w:szCs w:val="20"/>
                <w:lang w:val="en-US" w:eastAsia="zh-CN"/>
              </w:rPr>
              <w:t>)</w:t>
            </w:r>
          </w:p>
        </w:tc>
        <w:tc>
          <w:tcPr>
            <w:tcW w:w="1259"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r>
              <w:rPr>
                <w:rFonts w:hint="eastAsia" w:ascii="宋体" w:hAnsi="宋体"/>
                <w:b w:val="0"/>
                <w:bCs/>
                <w:sz w:val="20"/>
                <w:szCs w:val="20"/>
              </w:rPr>
              <w:t>15827281596</w:t>
            </w: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kern w:val="2"/>
                <w:sz w:val="20"/>
                <w:szCs w:val="20"/>
                <w:vertAlign w:val="baseline"/>
                <w:lang w:val="en-US" w:eastAsia="zh-CN" w:bidi="ar-SA"/>
              </w:rPr>
            </w:pPr>
            <w:r>
              <w:rPr>
                <w:rFonts w:hint="eastAsia" w:asciiTheme="majorEastAsia" w:hAnsiTheme="majorEastAsia" w:eastAsiaTheme="majorEastAsia" w:cstheme="majorEastAsia"/>
                <w:b w:val="0"/>
                <w:bCs w:val="0"/>
                <w:sz w:val="20"/>
                <w:szCs w:val="20"/>
                <w:vertAlign w:val="baseline"/>
                <w:lang w:val="en-US" w:eastAsia="zh-CN"/>
              </w:rPr>
              <w:t>10</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省级创新型中小企业</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val="en-US"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kern w:val="2"/>
                <w:sz w:val="20"/>
                <w:szCs w:val="20"/>
                <w:vertAlign w:val="baseline"/>
                <w:lang w:val="en-US" w:eastAsia="zh-CN" w:bidi="ar-SA"/>
              </w:rPr>
            </w:pPr>
            <w:r>
              <w:rPr>
                <w:rFonts w:hint="eastAsia" w:asciiTheme="majorEastAsia" w:hAnsiTheme="majorEastAsia" w:eastAsiaTheme="majorEastAsia" w:cstheme="majorEastAsia"/>
                <w:b w:val="0"/>
                <w:bCs w:val="0"/>
                <w:sz w:val="20"/>
                <w:szCs w:val="20"/>
                <w:vertAlign w:val="baseline"/>
                <w:lang w:val="en-US" w:eastAsia="zh-CN"/>
              </w:rPr>
              <w:t>11</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国家级专精特新“小巨人”企业</w:t>
            </w:r>
          </w:p>
        </w:tc>
        <w:tc>
          <w:tcPr>
            <w:tcW w:w="1140"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r>
              <w:rPr>
                <w:rFonts w:hint="eastAsia" w:ascii="宋体" w:hAnsi="宋体"/>
                <w:b w:val="0"/>
                <w:bCs/>
                <w:sz w:val="20"/>
                <w:szCs w:val="20"/>
                <w:lang w:eastAsia="zh-CN"/>
              </w:rPr>
              <w:t>胡武达</w:t>
            </w:r>
          </w:p>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宋体" w:hAnsi="宋体"/>
                <w:b w:val="0"/>
                <w:bCs/>
                <w:sz w:val="20"/>
                <w:szCs w:val="20"/>
                <w:lang w:eastAsia="zh-CN"/>
              </w:rPr>
            </w:pPr>
            <w:r>
              <w:rPr>
                <w:rFonts w:hint="eastAsia" w:ascii="宋体" w:hAnsi="宋体"/>
                <w:b w:val="0"/>
                <w:bCs/>
                <w:sz w:val="20"/>
                <w:szCs w:val="20"/>
                <w:lang w:val="en-US" w:eastAsia="zh-CN"/>
              </w:rPr>
              <w:t>(</w:t>
            </w:r>
            <w:r>
              <w:rPr>
                <w:rFonts w:hint="eastAsia" w:ascii="宋体" w:hAnsi="宋体"/>
                <w:b w:val="0"/>
                <w:bCs/>
                <w:sz w:val="20"/>
                <w:szCs w:val="20"/>
                <w:lang w:eastAsia="zh-CN"/>
              </w:rPr>
              <w:t>品牌</w:t>
            </w:r>
          </w:p>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宋体" w:hAnsi="宋体"/>
                <w:b w:val="0"/>
                <w:bCs/>
                <w:sz w:val="20"/>
                <w:szCs w:val="20"/>
                <w:lang w:val="en-US" w:eastAsia="zh-CN"/>
              </w:rPr>
            </w:pPr>
            <w:r>
              <w:rPr>
                <w:rFonts w:hint="eastAsia" w:ascii="宋体" w:hAnsi="宋体"/>
                <w:b w:val="0"/>
                <w:bCs/>
                <w:sz w:val="20"/>
                <w:szCs w:val="20"/>
                <w:lang w:eastAsia="zh-CN"/>
              </w:rPr>
              <w:t>创建办</w:t>
            </w:r>
            <w:r>
              <w:rPr>
                <w:rFonts w:hint="eastAsia" w:ascii="宋体" w:hAnsi="宋体"/>
                <w:b w:val="0"/>
                <w:bCs/>
                <w:sz w:val="20"/>
                <w:szCs w:val="20"/>
                <w:lang w:val="en-US" w:eastAsia="zh-CN"/>
              </w:rPr>
              <w:t>)</w:t>
            </w:r>
          </w:p>
        </w:tc>
        <w:tc>
          <w:tcPr>
            <w:tcW w:w="1259" w:type="dxa"/>
            <w:vMerge w:val="restart"/>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sz w:val="20"/>
                <w:szCs w:val="20"/>
                <w:vertAlign w:val="baseline"/>
                <w:lang w:eastAsia="zh-CN"/>
              </w:rPr>
            </w:pPr>
            <w:r>
              <w:rPr>
                <w:rFonts w:hint="eastAsia" w:ascii="宋体" w:hAnsi="宋体"/>
                <w:b w:val="0"/>
                <w:bCs/>
                <w:sz w:val="20"/>
                <w:szCs w:val="20"/>
              </w:rPr>
              <w:t>13871983380</w:t>
            </w: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kern w:val="2"/>
                <w:sz w:val="20"/>
                <w:szCs w:val="20"/>
                <w:vertAlign w:val="baseline"/>
                <w:lang w:val="en-US" w:eastAsia="zh-CN" w:bidi="ar-SA"/>
              </w:rPr>
            </w:pPr>
            <w:r>
              <w:rPr>
                <w:rFonts w:hint="eastAsia" w:asciiTheme="majorEastAsia" w:hAnsiTheme="majorEastAsia" w:eastAsiaTheme="majorEastAsia" w:cstheme="majorEastAsia"/>
                <w:b w:val="0"/>
                <w:bCs w:val="0"/>
                <w:sz w:val="20"/>
                <w:szCs w:val="20"/>
                <w:vertAlign w:val="baseline"/>
                <w:lang w:val="en-US" w:eastAsia="zh-CN"/>
              </w:rPr>
              <w:t>12</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pacing w:val="-6"/>
                <w:sz w:val="20"/>
                <w:szCs w:val="20"/>
                <w:vertAlign w:val="baseline"/>
                <w:lang w:eastAsia="zh-CN"/>
              </w:rPr>
              <w:t>省级专精特新中小企业</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kern w:val="2"/>
                <w:sz w:val="20"/>
                <w:szCs w:val="20"/>
                <w:vertAlign w:val="baseline"/>
                <w:lang w:val="en-US" w:eastAsia="zh-CN" w:bidi="ar-SA"/>
              </w:rPr>
            </w:pPr>
            <w:r>
              <w:rPr>
                <w:rFonts w:hint="eastAsia" w:asciiTheme="majorEastAsia" w:hAnsiTheme="majorEastAsia" w:eastAsiaTheme="majorEastAsia" w:cstheme="majorEastAsia"/>
                <w:b w:val="0"/>
                <w:bCs w:val="0"/>
                <w:sz w:val="20"/>
                <w:szCs w:val="20"/>
                <w:vertAlign w:val="baseline"/>
                <w:lang w:val="en-US" w:eastAsia="zh-CN"/>
              </w:rPr>
              <w:t>13</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单项冠军企业（产品）</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14</w:t>
            </w:r>
          </w:p>
        </w:tc>
        <w:tc>
          <w:tcPr>
            <w:tcW w:w="2080"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服务型制造示范企业</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565"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14</w:t>
            </w:r>
          </w:p>
        </w:tc>
        <w:tc>
          <w:tcPr>
            <w:tcW w:w="2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ajorEastAsia" w:hAnsiTheme="majorEastAsia" w:eastAsiaTheme="majorEastAsia" w:cstheme="majorEastAsia"/>
                <w:b w:val="0"/>
                <w:bCs w:val="0"/>
                <w:sz w:val="20"/>
                <w:szCs w:val="20"/>
                <w:vertAlign w:val="baseline"/>
                <w:lang w:eastAsia="zh-CN"/>
              </w:rPr>
            </w:pPr>
            <w:r>
              <w:rPr>
                <w:rFonts w:hint="eastAsia" w:asciiTheme="majorEastAsia" w:hAnsiTheme="majorEastAsia" w:eastAsiaTheme="majorEastAsia" w:cstheme="majorEastAsia"/>
                <w:b w:val="0"/>
                <w:bCs w:val="0"/>
                <w:sz w:val="20"/>
                <w:szCs w:val="20"/>
                <w:vertAlign w:val="baseline"/>
                <w:lang w:eastAsia="zh-CN"/>
              </w:rPr>
              <w:t>绿色工厂</w:t>
            </w:r>
          </w:p>
        </w:tc>
        <w:tc>
          <w:tcPr>
            <w:tcW w:w="1140"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1259" w:type="dxa"/>
            <w:vMerge w:val="continue"/>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eastAsia" w:asciiTheme="majorEastAsia" w:hAnsiTheme="majorEastAsia" w:eastAsiaTheme="majorEastAsia" w:cstheme="majorEastAsia"/>
                <w:b w:val="0"/>
                <w:bCs w:val="0"/>
                <w:sz w:val="20"/>
                <w:szCs w:val="20"/>
                <w:vertAlign w:val="baseline"/>
                <w:lang w:eastAsia="zh-CN"/>
              </w:rPr>
            </w:pPr>
          </w:p>
        </w:tc>
        <w:tc>
          <w:tcPr>
            <w:tcW w:w="739" w:type="dxa"/>
            <w:tcBorders>
              <w:tl2br w:val="nil"/>
              <w:tr2bl w:val="nil"/>
            </w:tcBorders>
            <w:vAlign w:val="center"/>
          </w:tcPr>
          <w:p>
            <w:pPr>
              <w:pStyle w:val="2"/>
              <w:keepNext w:val="0"/>
              <w:keepLines/>
              <w:pageBreakBefore w:val="0"/>
              <w:widowControl w:val="0"/>
              <w:kinsoku/>
              <w:wordWrap/>
              <w:overflowPunct/>
              <w:topLinePunct w:val="0"/>
              <w:autoSpaceDE/>
              <w:autoSpaceDN/>
              <w:bidi w:val="0"/>
              <w:adjustRightInd/>
              <w:snapToGrid/>
              <w:spacing w:before="0" w:after="0" w:line="260" w:lineRule="exact"/>
              <w:jc w:val="center"/>
              <w:textAlignment w:val="auto"/>
              <w:rPr>
                <w:rFonts w:hint="default" w:asciiTheme="majorEastAsia" w:hAnsiTheme="majorEastAsia" w:eastAsiaTheme="majorEastAsia" w:cstheme="majorEastAsia"/>
                <w:b w:val="0"/>
                <w:bCs w:val="0"/>
                <w:sz w:val="20"/>
                <w:szCs w:val="20"/>
                <w:vertAlign w:val="baseline"/>
                <w:lang w:val="en-US" w:eastAsia="zh-CN"/>
              </w:rPr>
            </w:pPr>
            <w:r>
              <w:rPr>
                <w:rFonts w:hint="eastAsia" w:asciiTheme="majorEastAsia" w:hAnsiTheme="majorEastAsia" w:eastAsiaTheme="majorEastAsia" w:cstheme="majorEastAsia"/>
                <w:b w:val="0"/>
                <w:bCs w:val="0"/>
                <w:sz w:val="20"/>
                <w:szCs w:val="20"/>
                <w:vertAlign w:val="baseline"/>
                <w:lang w:val="en-US" w:eastAsia="zh-CN"/>
              </w:rPr>
              <w:t>14</w:t>
            </w:r>
          </w:p>
        </w:tc>
      </w:tr>
    </w:tbl>
    <w:p>
      <w:pPr>
        <w:keepNext w:val="0"/>
        <w:keepLines w:val="0"/>
        <w:pageBreakBefore w:val="0"/>
        <w:widowControl w:val="0"/>
        <w:kinsoku/>
        <w:wordWrap/>
        <w:overflowPunct/>
        <w:topLinePunct w:val="0"/>
        <w:autoSpaceDE/>
        <w:autoSpaceDN/>
        <w:bidi w:val="0"/>
        <w:adjustRightInd/>
        <w:snapToGrid/>
        <w:spacing w:after="95" w:afterLines="30" w:line="600" w:lineRule="exact"/>
        <w:jc w:val="center"/>
        <w:textAlignment w:val="auto"/>
        <w:rPr>
          <w:rFonts w:hint="eastAsia" w:ascii="微软雅黑" w:hAnsi="微软雅黑" w:eastAsia="微软雅黑" w:cs="微软雅黑"/>
          <w:b/>
          <w:bCs w:val="0"/>
          <w:spacing w:val="11"/>
          <w:w w:val="110"/>
          <w:sz w:val="32"/>
          <w:szCs w:val="32"/>
          <w:lang w:eastAsia="zh-CN"/>
        </w:rPr>
        <w:sectPr>
          <w:footerReference r:id="rId3" w:type="default"/>
          <w:pgSz w:w="7370" w:h="10205"/>
          <w:pgMar w:top="1191" w:right="850" w:bottom="1020" w:left="850" w:header="851" w:footer="45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63" w:afterLines="20"/>
        <w:jc w:val="center"/>
        <w:textAlignment w:val="auto"/>
        <w:rPr>
          <w:rFonts w:hint="eastAsia" w:ascii="微软雅黑" w:hAnsi="微软雅黑" w:eastAsia="微软雅黑" w:cs="微软雅黑"/>
          <w:b/>
          <w:bCs w:val="0"/>
          <w:spacing w:val="20"/>
          <w:w w:val="100"/>
          <w:sz w:val="36"/>
          <w:szCs w:val="36"/>
          <w:lang w:eastAsia="zh-CN"/>
        </w:rPr>
      </w:pPr>
      <w:bookmarkStart w:id="0" w:name="_GoBack"/>
      <w:r>
        <w:rPr>
          <w:rFonts w:hint="eastAsia" w:ascii="微软雅黑" w:hAnsi="微软雅黑" w:eastAsia="微软雅黑" w:cs="微软雅黑"/>
          <w:b/>
          <w:bCs w:val="0"/>
          <w:spacing w:val="20"/>
          <w:w w:val="100"/>
          <w:sz w:val="36"/>
          <w:szCs w:val="36"/>
          <w:lang w:eastAsia="zh-CN"/>
        </w:rPr>
        <w:t>品牌创建相关政策解读</w:t>
      </w:r>
    </w:p>
    <w:bookmarkEnd w:id="0"/>
    <w:tbl>
      <w:tblPr>
        <w:tblStyle w:val="8"/>
        <w:tblW w:w="59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535"/>
        <w:gridCol w:w="536"/>
        <w:gridCol w:w="554"/>
        <w:gridCol w:w="655"/>
        <w:gridCol w:w="36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9" w:hRule="exact"/>
          <w:tblHeader/>
          <w:jc w:val="center"/>
        </w:trPr>
        <w:tc>
          <w:tcPr>
            <w:tcW w:w="1071" w:type="dxa"/>
            <w:gridSpan w:val="2"/>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项</w:t>
            </w:r>
            <w:r>
              <w:rPr>
                <w:rFonts w:hint="eastAsia" w:ascii="黑体" w:hAnsi="黑体" w:eastAsia="黑体" w:cs="黑体"/>
                <w:b/>
                <w:bCs/>
                <w:sz w:val="20"/>
                <w:szCs w:val="20"/>
                <w:highlight w:val="none"/>
                <w:vertAlign w:val="baseline"/>
                <w:lang w:val="en-US" w:eastAsia="zh-CN"/>
              </w:rPr>
              <w:t xml:space="preserve"> </w:t>
            </w:r>
            <w:r>
              <w:rPr>
                <w:rFonts w:hint="eastAsia" w:ascii="黑体" w:hAnsi="黑体" w:eastAsia="黑体" w:cs="黑体"/>
                <w:b/>
                <w:bCs/>
                <w:sz w:val="20"/>
                <w:szCs w:val="20"/>
                <w:highlight w:val="none"/>
                <w:vertAlign w:val="baseline"/>
                <w:lang w:eastAsia="zh-CN"/>
              </w:rPr>
              <w:t>目</w:t>
            </w:r>
          </w:p>
        </w:tc>
        <w:tc>
          <w:tcPr>
            <w:tcW w:w="554"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奖励</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金额</w:t>
            </w:r>
          </w:p>
        </w:tc>
        <w:tc>
          <w:tcPr>
            <w:tcW w:w="655"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申报</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时间</w:t>
            </w:r>
          </w:p>
        </w:tc>
        <w:tc>
          <w:tcPr>
            <w:tcW w:w="3673"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核心条款（申报门槛）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78" w:hRule="atLeast"/>
          <w:jc w:val="center"/>
        </w:trPr>
        <w:tc>
          <w:tcPr>
            <w:tcW w:w="5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高新技术企业</w:t>
            </w: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新</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申</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报</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20万</w:t>
            </w:r>
          </w:p>
        </w:tc>
        <w:tc>
          <w:tcPr>
            <w:tcW w:w="6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每年</w:t>
            </w:r>
            <w:r>
              <w:rPr>
                <w:rFonts w:hint="eastAsia" w:ascii="宋体" w:hAnsi="宋体" w:eastAsia="宋体" w:cs="宋体"/>
                <w:sz w:val="20"/>
                <w:szCs w:val="20"/>
                <w:vertAlign w:val="baseline"/>
                <w:lang w:val="en-US" w:eastAsia="zh-CN"/>
              </w:rPr>
              <w:t>5月30日至9月30日</w:t>
            </w:r>
          </w:p>
        </w:tc>
        <w:tc>
          <w:tcPr>
            <w:tcW w:w="3673" w:type="dxa"/>
            <w:vMerge w:val="restar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pacing w:val="-6"/>
                <w:sz w:val="20"/>
                <w:szCs w:val="20"/>
                <w:vertAlign w:val="baseline"/>
                <w:lang w:eastAsia="zh-CN"/>
              </w:rPr>
            </w:pPr>
            <w:r>
              <w:rPr>
                <w:rFonts w:hint="eastAsia" w:ascii="宋体" w:hAnsi="宋体" w:eastAsia="宋体" w:cs="宋体"/>
                <w:spacing w:val="-6"/>
                <w:sz w:val="20"/>
                <w:szCs w:val="20"/>
                <w:vertAlign w:val="baseline"/>
                <w:lang w:eastAsia="zh-CN"/>
              </w:rPr>
              <w:t>企业申请认定时须注册成立一年以上；</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企业拥有核心自主知识产权；</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属于《国家重点支持的高新技术领域》；</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科技人员占企业当年职工总数的比例不低于10%；</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研究开发费用总额占同期销售收入总额的比例符合要求；</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近一年高新技术产品（服务）收入占企业同期总收入的比例不低于60%；</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企业创新能力评价应达到相应要求；</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企业申请认定前一年内未发生重大安全、重大质量事故或严重环境违法行为。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27" w:hRule="atLeast"/>
          <w:jc w:val="center"/>
        </w:trPr>
        <w:tc>
          <w:tcPr>
            <w:tcW w:w="5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rPr>
            </w:pP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复</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rPr>
            </w:pPr>
            <w:r>
              <w:rPr>
                <w:rFonts w:hint="eastAsia" w:ascii="宋体" w:hAnsi="宋体" w:eastAsia="宋体" w:cs="宋体"/>
                <w:sz w:val="20"/>
                <w:szCs w:val="20"/>
                <w:vertAlign w:val="baseline"/>
                <w:lang w:eastAsia="zh-CN"/>
              </w:rPr>
              <w:t>审</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10万</w:t>
            </w:r>
          </w:p>
        </w:tc>
        <w:tc>
          <w:tcPr>
            <w:tcW w:w="6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tc>
        <w:tc>
          <w:tcPr>
            <w:tcW w:w="36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0"/>
                <w:szCs w:val="20"/>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95" w:hRule="atLeast"/>
          <w:jc w:val="center"/>
        </w:trPr>
        <w:tc>
          <w:tcPr>
            <w:tcW w:w="5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科创新物种</w:t>
            </w: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瞪羚</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30万</w:t>
            </w:r>
          </w:p>
        </w:tc>
        <w:tc>
          <w:tcPr>
            <w:tcW w:w="6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大数据筛查</w:t>
            </w:r>
          </w:p>
        </w:tc>
        <w:tc>
          <w:tcPr>
            <w:tcW w:w="3673" w:type="dxa"/>
            <w:tcBorders>
              <w:tl2br w:val="nil"/>
              <w:tr2bl w:val="nil"/>
            </w:tcBorders>
            <w:vAlign w:val="center"/>
          </w:tcPr>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425" w:leftChars="0" w:right="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注册时间不超过15年；</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425" w:leftChars="0" w:right="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上年度销售收入在5亿元以下；</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425" w:leftChars="0" w:right="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近两年销售收入或利润总额平均增长率不低于15％；</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425" w:leftChars="0" w:right="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上年度营收在1亿元以下的，上年度</w:t>
            </w:r>
            <w:r>
              <w:rPr>
                <w:rFonts w:hint="eastAsia" w:ascii="宋体" w:hAnsi="宋体" w:eastAsia="宋体" w:cs="宋体"/>
                <w:spacing w:val="-6"/>
                <w:kern w:val="2"/>
                <w:sz w:val="20"/>
                <w:szCs w:val="20"/>
                <w:vertAlign w:val="baseline"/>
                <w:lang w:val="en-US" w:eastAsia="zh-CN" w:bidi="ar-SA"/>
              </w:rPr>
              <w:t>研发投入占销售收入比例不低于4％</w:t>
            </w:r>
            <w:r>
              <w:rPr>
                <w:rFonts w:hint="eastAsia" w:ascii="宋体" w:hAnsi="宋体" w:eastAsia="宋体" w:cs="宋体"/>
                <w:sz w:val="20"/>
                <w:szCs w:val="20"/>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5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rPr>
            </w:pP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潜在独角兽企业</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50万</w:t>
            </w:r>
          </w:p>
        </w:tc>
        <w:tc>
          <w:tcPr>
            <w:tcW w:w="6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tc>
        <w:tc>
          <w:tcPr>
            <w:tcW w:w="3673" w:type="dxa"/>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企业注册时间不超过8年；</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最近一轮融资估值1亿美元以上；</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近三年内企业累计获得风险投资1000万元（含）以上（或等值外币）。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5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科创新物种</w:t>
            </w: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独角兽企业</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80万</w:t>
            </w:r>
          </w:p>
        </w:tc>
        <w:tc>
          <w:tcPr>
            <w:tcW w:w="6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大数据筛查</w:t>
            </w:r>
          </w:p>
        </w:tc>
        <w:tc>
          <w:tcPr>
            <w:tcW w:w="3673" w:type="dxa"/>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企业注册时间不超过10年；</w:t>
            </w:r>
          </w:p>
          <w:p>
            <w:pPr>
              <w:keepNext w:val="0"/>
              <w:keepLines w:val="0"/>
              <w:pageBreakBefore w:val="0"/>
              <w:widowControl w:val="0"/>
              <w:numPr>
                <w:ilvl w:val="0"/>
                <w:numId w:val="4"/>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最近一轮融资估值10亿美元以上。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50" w:hRule="atLeast"/>
          <w:jc w:val="center"/>
        </w:trPr>
        <w:tc>
          <w:tcPr>
            <w:tcW w:w="5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驼鹿</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100万</w:t>
            </w:r>
          </w:p>
        </w:tc>
        <w:tc>
          <w:tcPr>
            <w:tcW w:w="6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tc>
        <w:tc>
          <w:tcPr>
            <w:tcW w:w="3673" w:type="dxa"/>
            <w:tcBorders>
              <w:tl2br w:val="nil"/>
              <w:tr2bl w:val="nil"/>
            </w:tcBorders>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企业注册时间不超过6年；</w:t>
            </w:r>
          </w:p>
          <w:p>
            <w:pPr>
              <w:keepNext w:val="0"/>
              <w:keepLines w:val="0"/>
              <w:pageBreakBefore w:val="0"/>
              <w:widowControl w:val="0"/>
              <w:numPr>
                <w:ilvl w:val="0"/>
                <w:numId w:val="5"/>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上年度销售收入5亿元以上；</w:t>
            </w:r>
          </w:p>
          <w:p>
            <w:pPr>
              <w:keepNext w:val="0"/>
              <w:keepLines w:val="0"/>
              <w:pageBreakBefore w:val="0"/>
              <w:widowControl w:val="0"/>
              <w:numPr>
                <w:ilvl w:val="0"/>
                <w:numId w:val="5"/>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近三年内企业累计获得风险投资2000万元（含）以上（或等值外币）；</w:t>
            </w:r>
          </w:p>
          <w:p>
            <w:pPr>
              <w:keepNext w:val="0"/>
              <w:keepLines w:val="0"/>
              <w:pageBreakBefore w:val="0"/>
              <w:widowControl w:val="0"/>
              <w:numPr>
                <w:ilvl w:val="0"/>
                <w:numId w:val="5"/>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4至少拥有有效期内2项高价值发明专利。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36" w:hRule="atLeast"/>
          <w:jc w:val="center"/>
        </w:trPr>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企校联合创新中心</w:t>
            </w:r>
          </w:p>
        </w:tc>
        <w:tc>
          <w:tcPr>
            <w:tcW w:w="5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20万</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省科技厅通知</w:t>
            </w:r>
          </w:p>
        </w:tc>
        <w:tc>
          <w:tcPr>
            <w:tcW w:w="3673" w:type="dxa"/>
            <w:tcBorders>
              <w:tl2br w:val="nil"/>
              <w:tr2bl w:val="nil"/>
            </w:tcBorders>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pacing w:val="-6"/>
                <w:sz w:val="20"/>
                <w:szCs w:val="20"/>
                <w:vertAlign w:val="baseline"/>
                <w:lang w:val="en-US" w:eastAsia="zh-CN"/>
              </w:rPr>
            </w:pPr>
            <w:r>
              <w:rPr>
                <w:rFonts w:hint="eastAsia" w:ascii="宋体" w:hAnsi="宋体" w:eastAsia="宋体" w:cs="宋体"/>
                <w:spacing w:val="-6"/>
                <w:sz w:val="20"/>
                <w:szCs w:val="20"/>
                <w:vertAlign w:val="baseline"/>
                <w:lang w:val="en-US" w:eastAsia="zh-CN"/>
              </w:rPr>
              <w:t>企业在湖北省内注册，属于独立法人资格的规上企业；</w:t>
            </w:r>
          </w:p>
          <w:p>
            <w:pPr>
              <w:keepNext w:val="0"/>
              <w:keepLines w:val="0"/>
              <w:pageBreakBefore w:val="0"/>
              <w:widowControl w:val="0"/>
              <w:numPr>
                <w:ilvl w:val="0"/>
                <w:numId w:val="6"/>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企业和高校、科研机构具有3年以上合作经历或者签订了长期稳定的合作协议，组织机构健全和规章制度完善；</w:t>
            </w:r>
          </w:p>
          <w:p>
            <w:pPr>
              <w:keepNext w:val="0"/>
              <w:keepLines w:val="0"/>
              <w:pageBreakBefore w:val="0"/>
              <w:widowControl w:val="0"/>
              <w:numPr>
                <w:ilvl w:val="0"/>
                <w:numId w:val="6"/>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具有结构合理的研发队伍，研发人员不少于20人，其中高校或科研机构的研发人员不少于20%；</w:t>
            </w:r>
          </w:p>
          <w:p>
            <w:pPr>
              <w:keepNext w:val="0"/>
              <w:keepLines w:val="0"/>
              <w:pageBreakBefore w:val="0"/>
              <w:widowControl w:val="0"/>
              <w:numPr>
                <w:ilvl w:val="0"/>
                <w:numId w:val="6"/>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具有良好的技术研发试验条件，高校、科研机构应为企校联合创新中心提供必要的检测、分析、测试手段和相对集中的设施场所；</w:t>
            </w:r>
          </w:p>
          <w:p>
            <w:pPr>
              <w:keepNext w:val="0"/>
              <w:keepLines w:val="0"/>
              <w:pageBreakBefore w:val="0"/>
              <w:widowControl w:val="0"/>
              <w:numPr>
                <w:ilvl w:val="0"/>
                <w:numId w:val="6"/>
              </w:numPr>
              <w:kinsoku/>
              <w:wordWrap/>
              <w:overflowPunct/>
              <w:topLinePunct w:val="0"/>
              <w:autoSpaceDE/>
              <w:autoSpaceDN/>
              <w:bidi w:val="0"/>
              <w:adjustRightInd/>
              <w:snapToGrid/>
              <w:spacing w:line="276" w:lineRule="exact"/>
              <w:ind w:left="425" w:lef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企业投入的研发经费，在企校联合创新中心成立后的三年内不少于100万元。</w:t>
            </w:r>
          </w:p>
        </w:tc>
      </w:tr>
    </w:tbl>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br w:type="page"/>
      </w:r>
    </w:p>
    <w:tbl>
      <w:tblPr>
        <w:tblStyle w:val="8"/>
        <w:tblW w:w="59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539"/>
        <w:gridCol w:w="539"/>
        <w:gridCol w:w="539"/>
        <w:gridCol w:w="659"/>
        <w:gridCol w:w="3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9" w:hRule="exact"/>
          <w:tblHeader/>
          <w:jc w:val="center"/>
        </w:trPr>
        <w:tc>
          <w:tcPr>
            <w:tcW w:w="539" w:type="dxa"/>
            <w:gridSpan w:val="2"/>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项目</w:t>
            </w:r>
          </w:p>
        </w:tc>
        <w:tc>
          <w:tcPr>
            <w:tcW w:w="539"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奖励金额</w:t>
            </w:r>
          </w:p>
        </w:tc>
        <w:tc>
          <w:tcPr>
            <w:tcW w:w="658"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申报</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时间</w:t>
            </w:r>
          </w:p>
        </w:tc>
        <w:tc>
          <w:tcPr>
            <w:tcW w:w="3673"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核心条款（申报门槛）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5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两化融合试点示范</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30万</w:t>
            </w:r>
          </w:p>
        </w:tc>
        <w:tc>
          <w:tcPr>
            <w:tcW w:w="6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每年</w:t>
            </w:r>
            <w:r>
              <w:rPr>
                <w:rFonts w:hint="eastAsia" w:ascii="宋体" w:hAnsi="宋体" w:eastAsia="宋体" w:cs="宋体"/>
                <w:sz w:val="20"/>
                <w:szCs w:val="20"/>
                <w:vertAlign w:val="baseline"/>
                <w:lang w:val="en-US" w:eastAsia="zh-CN"/>
              </w:rPr>
              <w:t>10月左右</w:t>
            </w:r>
          </w:p>
        </w:tc>
        <w:tc>
          <w:tcPr>
            <w:tcW w:w="3673" w:type="dxa"/>
            <w:vMerge w:val="restart"/>
            <w:tcBorders>
              <w:tl2br w:val="nil"/>
              <w:tr2bl w:val="nil"/>
            </w:tcBorders>
            <w:vAlign w:val="center"/>
          </w:tcPr>
          <w:p>
            <w:pPr>
              <w:pStyle w:val="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企业应建立了相应的信息化支撑网络和平台，具备</w:t>
            </w:r>
            <w:r>
              <w:rPr>
                <w:rFonts w:hint="eastAsia" w:ascii="宋体" w:hAnsi="宋体" w:eastAsia="宋体" w:cs="宋体"/>
                <w:sz w:val="20"/>
                <w:szCs w:val="20"/>
                <w:vertAlign w:val="baseline"/>
                <w:lang w:val="en-US" w:eastAsia="zh-CN"/>
              </w:rPr>
              <w:t>1个以上的信息化应用</w:t>
            </w:r>
            <w:r>
              <w:rPr>
                <w:rFonts w:hint="eastAsia" w:ascii="宋体" w:hAnsi="宋体" w:eastAsia="宋体" w:cs="宋体"/>
                <w:sz w:val="20"/>
                <w:szCs w:val="20"/>
                <w:vertAlign w:val="baseline"/>
                <w:lang w:eastAsia="zh-CN"/>
              </w:rPr>
              <w:t>软件、并要求有</w:t>
            </w:r>
            <w:r>
              <w:rPr>
                <w:rFonts w:hint="eastAsia" w:ascii="宋体" w:hAnsi="宋体" w:eastAsia="宋体" w:cs="宋体"/>
                <w:sz w:val="20"/>
                <w:szCs w:val="20"/>
                <w:vertAlign w:val="baseline"/>
                <w:lang w:val="en-US" w:eastAsia="zh-CN"/>
              </w:rPr>
              <w:t>3个月以上的数据。</w:t>
            </w:r>
          </w:p>
          <w:p>
            <w:pPr>
              <w:pStyle w:val="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信息技术应用效果明显，具有一定示范推广价值。</w:t>
            </w:r>
          </w:p>
          <w:p>
            <w:pPr>
              <w:pStyle w:val="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pacing w:val="6"/>
                <w:sz w:val="20"/>
                <w:szCs w:val="20"/>
                <w:vertAlign w:val="baseline"/>
                <w:lang w:eastAsia="zh-CN"/>
              </w:rPr>
              <w:t>申报企业应通过中国两化融合咨询服务平台的湖北省两化融合评估系统（http://hubeipg.cspiii.com/User/Login）完成两化融合评估诊断和对标引导工作。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7" w:hRule="atLeast"/>
          <w:jc w:val="center"/>
        </w:trPr>
        <w:tc>
          <w:tcPr>
            <w:tcW w:w="5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rPr>
            </w:pP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级</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20万</w:t>
            </w:r>
          </w:p>
        </w:tc>
        <w:tc>
          <w:tcPr>
            <w:tcW w:w="6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tc>
        <w:tc>
          <w:tcPr>
            <w:tcW w:w="36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6" w:lineRule="exact"/>
              <w:jc w:val="both"/>
              <w:textAlignment w:val="auto"/>
              <w:rPr>
                <w:rFonts w:hint="eastAsia" w:ascii="宋体" w:hAnsi="宋体" w:eastAsia="宋体" w:cs="宋体"/>
                <w:sz w:val="20"/>
                <w:szCs w:val="20"/>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30" w:hRule="atLeast"/>
          <w:jc w:val="center"/>
        </w:trPr>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两化融合贯标</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30万</w:t>
            </w:r>
          </w:p>
        </w:tc>
        <w:tc>
          <w:tcPr>
            <w:tcW w:w="6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随时可申报</w:t>
            </w:r>
          </w:p>
        </w:tc>
        <w:tc>
          <w:tcPr>
            <w:tcW w:w="3673" w:type="dxa"/>
            <w:tcBorders>
              <w:tl2br w:val="nil"/>
              <w:tr2bl w:val="nil"/>
            </w:tcBorders>
            <w:vAlign w:val="center"/>
          </w:tcPr>
          <w:p>
            <w:pPr>
              <w:pStyle w:val="6"/>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具备1个或1个以上的信息化软件、 ERP企业资源管理系统、MES生产执行管理系统要求有3个月以上的数据。</w:t>
            </w:r>
          </w:p>
          <w:p>
            <w:pPr>
              <w:pStyle w:val="6"/>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pacing w:val="-6"/>
                <w:sz w:val="20"/>
                <w:szCs w:val="20"/>
                <w:vertAlign w:val="baseline"/>
                <w:lang w:val="en-US" w:eastAsia="zh-CN"/>
              </w:rPr>
              <w:t>组织架构清晰，在职人员20人以上。</w:t>
            </w:r>
          </w:p>
          <w:p>
            <w:pPr>
              <w:pStyle w:val="6"/>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两化融合工作具备良好基础，管理规范</w:t>
            </w:r>
            <w:r>
              <w:rPr>
                <w:rFonts w:hint="eastAsia" w:ascii="宋体" w:hAnsi="宋体" w:eastAsia="宋体" w:cs="宋体"/>
                <w:sz w:val="20"/>
                <w:szCs w:val="20"/>
                <w:vertAlign w:val="baseline"/>
                <w:lang w:val="en-US" w:eastAsia="zh-CN"/>
              </w:rPr>
              <w:t>。厂房面积、生产线自动化、设备管理需达到相应的标准。</w:t>
            </w:r>
          </w:p>
          <w:p>
            <w:pPr>
              <w:pStyle w:val="6"/>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具有建立实施管理体系的经验，如质量、环境、能源、职业健康安全、信息安全和信息技术服务等。</w:t>
            </w:r>
          </w:p>
          <w:p>
            <w:pPr>
              <w:pStyle w:val="6"/>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6" w:lineRule="exact"/>
              <w:ind w:left="425" w:leftChars="0" w:right="0" w:rightChars="0" w:hanging="425" w:firstLineChars="0"/>
              <w:jc w:val="both"/>
              <w:textAlignment w:val="auto"/>
              <w:rPr>
                <w:rFonts w:hint="eastAsia" w:ascii="宋体" w:hAnsi="宋体" w:eastAsia="宋体" w:cs="宋体"/>
                <w:sz w:val="20"/>
                <w:szCs w:val="20"/>
                <w:vertAlign w:val="baseline"/>
                <w:lang w:eastAsia="zh-CN"/>
              </w:rPr>
            </w:pPr>
            <w:r>
              <w:rPr>
                <w:rFonts w:hint="default" w:ascii="宋体" w:hAnsi="宋体" w:eastAsia="宋体" w:cs="宋体"/>
                <w:sz w:val="20"/>
                <w:szCs w:val="20"/>
                <w:vertAlign w:val="baseline"/>
                <w:lang w:val="en-US" w:eastAsia="zh-CN"/>
              </w:rPr>
              <w:t>优先支持国家级两化融合示范企业，各省（自治区、直辖市）、各行业两化融合标杆（示范）企业，国家或省部级质量奖的企业。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32" w:hRule="atLeast"/>
          <w:jc w:val="center"/>
        </w:trPr>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万企上云标杆企业</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20万</w:t>
            </w:r>
          </w:p>
        </w:tc>
        <w:tc>
          <w:tcPr>
            <w:tcW w:w="6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每年</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9月</w:t>
            </w:r>
          </w:p>
        </w:tc>
        <w:tc>
          <w:tcPr>
            <w:tcW w:w="3673" w:type="dxa"/>
            <w:tcBorders>
              <w:tl2br w:val="nil"/>
              <w:tr2bl w:val="nil"/>
            </w:tcBorders>
            <w:vAlign w:val="center"/>
          </w:tcPr>
          <w:p>
            <w:pPr>
              <w:pStyle w:val="6"/>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企业应重视信息化建设，近两年在上云方面有连续性的投入，拥有稳定的信息化管理团队，在信息化改造方面已形成了较为完善的解决方案，要具有一定的行业和区域代表性。</w:t>
            </w:r>
          </w:p>
          <w:p>
            <w:pPr>
              <w:pStyle w:val="6"/>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企业通过上云，在管理、设计、研发、生产、销售等某个方面或某几个方面信息化程度提升较大，生产经营效率和经济社会效益指标有明显改变，能充分体现上云在企业提质增效降本等方面具有明显促进作用，并已产生实际应用价值。</w:t>
            </w:r>
          </w:p>
          <w:p>
            <w:pPr>
              <w:pStyle w:val="6"/>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企业使用的云产品和服务技术成熟，可在同行业企业或其他企业进行复制和推广；能体现按需供给、资源分享的特征和作用；</w:t>
            </w:r>
          </w:p>
          <w:p>
            <w:pPr>
              <w:pStyle w:val="6"/>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通过国家两化融合管理体系贯标、新一代信息技术与制造业融合发展、工业互联网等国家或省级相关试点示范的企业在同等条件下优先。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71" w:hRule="atLeast"/>
          <w:jc w:val="center"/>
        </w:trPr>
        <w:tc>
          <w:tcPr>
            <w:tcW w:w="5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智能制造试点示范</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100万</w:t>
            </w:r>
          </w:p>
        </w:tc>
        <w:tc>
          <w:tcPr>
            <w:tcW w:w="6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每年</w:t>
            </w:r>
            <w:r>
              <w:rPr>
                <w:rFonts w:hint="eastAsia" w:ascii="宋体" w:hAnsi="宋体" w:eastAsia="宋体" w:cs="宋体"/>
                <w:sz w:val="20"/>
                <w:szCs w:val="20"/>
                <w:vertAlign w:val="baseline"/>
                <w:lang w:val="en-US" w:eastAsia="zh-CN"/>
              </w:rPr>
              <w:t>7月左右</w:t>
            </w:r>
          </w:p>
        </w:tc>
        <w:tc>
          <w:tcPr>
            <w:tcW w:w="3673" w:type="dxa"/>
            <w:vMerge w:val="restart"/>
            <w:tcBorders>
              <w:tl2br w:val="nil"/>
              <w:tr2bl w:val="nil"/>
            </w:tcBorders>
            <w:vAlign w:val="center"/>
          </w:tcPr>
          <w:p>
            <w:pPr>
              <w:pStyle w:val="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申报企业针对制造环节智能制造典型场景（15个环节（工厂设计、产品研发、工艺设计、计划调度、生产作业、仓储配送、质量管控、设备管理、安全管控、能源管理、环保管控、营销管理、售后服务、供应链管理、模式创新）52个智能制造典型场景）提炼关键需求，通过5G、工业互联网、大数据、人工智能、北斗系统等新一代信息技术与核心制造环节的深度融合，重点梳理凝练可复制、可推广的智能制造优秀场景，形成企业示范案例材料。</w:t>
            </w:r>
          </w:p>
          <w:p>
            <w:pPr>
              <w:pStyle w:val="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使用的关键技术装备、工业软件须安全可控，解决方案无知识产权纠纷。</w:t>
            </w:r>
          </w:p>
          <w:p>
            <w:pPr>
              <w:pStyle w:val="6"/>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申报企业应通过智能制造数据资源公共服务平台(http://miit-imps.com)开展智能制造能力成熟度自评估，达到国家标准GB/T 39116-2020《智能制造能力成熟度模型》二级及以上或满足相关行业智能制造指导性文件要求。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24" w:hRule="atLeast"/>
          <w:jc w:val="center"/>
        </w:trPr>
        <w:tc>
          <w:tcPr>
            <w:tcW w:w="5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50万</w:t>
            </w:r>
          </w:p>
        </w:tc>
        <w:tc>
          <w:tcPr>
            <w:tcW w:w="6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tc>
        <w:tc>
          <w:tcPr>
            <w:tcW w:w="3673" w:type="dxa"/>
            <w:vMerge w:val="continue"/>
            <w:tcBorders>
              <w:tl2br w:val="nil"/>
              <w:tr2bl w:val="nil"/>
            </w:tcBorders>
            <w:vAlign w:val="center"/>
          </w:tcPr>
          <w:p>
            <w:pPr>
              <w:pStyle w:val="13"/>
              <w:keepNext w:val="0"/>
              <w:keepLines w:val="0"/>
              <w:pageBreakBefore w:val="0"/>
              <w:kinsoku/>
              <w:wordWrap/>
              <w:overflowPunct/>
              <w:topLinePunct w:val="0"/>
              <w:autoSpaceDE/>
              <w:autoSpaceDN/>
              <w:bidi w:val="0"/>
              <w:adjustRightInd/>
              <w:snapToGrid/>
              <w:spacing w:line="250" w:lineRule="exact"/>
              <w:jc w:val="both"/>
              <w:textAlignment w:val="auto"/>
              <w:rPr>
                <w:rFonts w:hint="eastAsia" w:ascii="宋体" w:hAnsi="宋体" w:eastAsia="宋体" w:cs="宋体"/>
                <w:sz w:val="20"/>
                <w:szCs w:val="20"/>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80" w:hRule="atLeast"/>
          <w:jc w:val="center"/>
        </w:trPr>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新一代信息技术与制造业融合发展试点示范企业</w:t>
            </w: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p>
            <w:pPr>
              <w:pStyle w:val="13"/>
              <w:keepNext w:val="0"/>
              <w:keepLines w:val="0"/>
              <w:pageBreakBefore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pStyle w:val="13"/>
              <w:keepNext w:val="0"/>
              <w:keepLines w:val="0"/>
              <w:pageBreakBefore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pStyle w:val="13"/>
              <w:keepNext w:val="0"/>
              <w:keepLines w:val="0"/>
              <w:pageBreakBefore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p>
        </w:tc>
        <w:tc>
          <w:tcPr>
            <w:tcW w:w="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50万</w:t>
            </w:r>
          </w:p>
        </w:tc>
        <w:tc>
          <w:tcPr>
            <w:tcW w:w="6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每年</w:t>
            </w:r>
            <w:r>
              <w:rPr>
                <w:rFonts w:hint="eastAsia" w:ascii="宋体" w:hAnsi="宋体" w:eastAsia="宋体" w:cs="宋体"/>
                <w:sz w:val="20"/>
                <w:szCs w:val="20"/>
                <w:vertAlign w:val="baseline"/>
                <w:lang w:val="en-US" w:eastAsia="zh-CN"/>
              </w:rPr>
              <w:t>8月左右</w:t>
            </w:r>
          </w:p>
        </w:tc>
        <w:tc>
          <w:tcPr>
            <w:tcW w:w="3673" w:type="dxa"/>
            <w:tcBorders>
              <w:tl2br w:val="nil"/>
              <w:tr2bl w:val="nil"/>
            </w:tcBorders>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both"/>
              <w:textAlignment w:val="auto"/>
              <w:rPr>
                <w:rFonts w:hint="eastAsia" w:ascii="宋体" w:hAnsi="宋体" w:eastAsia="宋体" w:cs="宋体"/>
                <w:spacing w:val="-6"/>
                <w:sz w:val="20"/>
                <w:szCs w:val="20"/>
                <w:vertAlign w:val="baseline"/>
                <w:lang w:val="en-US" w:eastAsia="zh-CN"/>
              </w:rPr>
            </w:pPr>
            <w:r>
              <w:rPr>
                <w:rFonts w:hint="eastAsia" w:ascii="宋体" w:hAnsi="宋体" w:eastAsia="宋体" w:cs="宋体"/>
                <w:spacing w:val="-6"/>
                <w:sz w:val="20"/>
                <w:szCs w:val="20"/>
                <w:vertAlign w:val="baseline"/>
                <w:lang w:val="en-US" w:eastAsia="zh-CN"/>
              </w:rPr>
              <w:t>（一）申报主体。“数字领航”企业方向申报主体为</w:t>
            </w:r>
            <w:r>
              <w:rPr>
                <w:rFonts w:hint="eastAsia" w:ascii="宋体" w:hAnsi="宋体" w:eastAsia="宋体" w:cs="宋体"/>
                <w:spacing w:val="0"/>
                <w:sz w:val="20"/>
                <w:szCs w:val="20"/>
                <w:vertAlign w:val="baseline"/>
                <w:lang w:val="en-US" w:eastAsia="zh-CN"/>
              </w:rPr>
              <w:t>近5年入选工业和信息化部制造业数字化转型领域相关试点示范的制造企业，包括新一代信息技术与制造业融合发展试点示范、制造业与互联网融合发</w:t>
            </w:r>
            <w:r>
              <w:rPr>
                <w:rFonts w:hint="eastAsia" w:ascii="宋体" w:hAnsi="宋体" w:eastAsia="宋体" w:cs="宋体"/>
                <w:spacing w:val="-6"/>
                <w:sz w:val="20"/>
                <w:szCs w:val="20"/>
                <w:vertAlign w:val="baseline"/>
                <w:lang w:val="en-US" w:eastAsia="zh-CN"/>
              </w:rPr>
              <w:t>展试点示范、工业互联网试点示范、智能制造试点 示范等，不接受联合体申报。两化融合管理体系</w:t>
            </w:r>
            <w:r>
              <w:rPr>
                <w:rFonts w:hint="eastAsia" w:ascii="宋体" w:hAnsi="宋体" w:eastAsia="宋体" w:cs="宋体"/>
                <w:spacing w:val="0"/>
                <w:sz w:val="20"/>
                <w:szCs w:val="20"/>
                <w:vertAlign w:val="baseline"/>
                <w:lang w:val="en-US" w:eastAsia="zh-CN"/>
              </w:rPr>
              <w:t>贯标和特色专业型工业互联网平台方向申报主体包括制造企业、信息技术企业、互联网企业、电信运营商、科研院所或其联合体等，应在中华人民共和国</w:t>
            </w:r>
            <w:r>
              <w:rPr>
                <w:rFonts w:hint="eastAsia" w:ascii="宋体" w:hAnsi="宋体" w:eastAsia="宋体" w:cs="宋体"/>
                <w:spacing w:val="-6"/>
                <w:sz w:val="20"/>
                <w:szCs w:val="20"/>
                <w:vertAlign w:val="baseline"/>
                <w:lang w:val="en-US" w:eastAsia="zh-CN"/>
              </w:rPr>
              <w:t>境内注册，具备独立法人资格，具有较好的经济实力、技术研发和融合发展能力。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both"/>
              <w:textAlignment w:val="auto"/>
              <w:rPr>
                <w:rFonts w:hint="eastAsia" w:ascii="宋体" w:hAnsi="宋体" w:eastAsia="宋体" w:cs="宋体"/>
                <w:spacing w:val="0"/>
                <w:sz w:val="20"/>
                <w:szCs w:val="20"/>
                <w:vertAlign w:val="baseline"/>
                <w:lang w:val="en-US" w:eastAsia="zh-CN"/>
              </w:rPr>
            </w:pPr>
            <w:r>
              <w:rPr>
                <w:rFonts w:hint="eastAsia" w:ascii="宋体" w:hAnsi="宋体" w:eastAsia="宋体" w:cs="宋体"/>
                <w:spacing w:val="-6"/>
                <w:sz w:val="20"/>
                <w:szCs w:val="20"/>
                <w:vertAlign w:val="baseline"/>
                <w:lang w:val="en-US" w:eastAsia="zh-CN"/>
              </w:rPr>
              <w:t>（二）</w:t>
            </w:r>
            <w:r>
              <w:rPr>
                <w:rFonts w:hint="eastAsia" w:ascii="宋体" w:hAnsi="宋体" w:eastAsia="宋体" w:cs="宋体"/>
                <w:spacing w:val="0"/>
                <w:sz w:val="20"/>
                <w:szCs w:val="20"/>
                <w:vertAlign w:val="baseline"/>
                <w:lang w:val="en-US" w:eastAsia="zh-CN"/>
              </w:rPr>
              <w:t>推荐单位。各省、自治区、直辖市工业和信息化主管部门推荐项目原则上不超过10个；各计划单列市工业和信息化主管部门推</w:t>
            </w:r>
            <w:r>
              <w:rPr>
                <w:rFonts w:hint="eastAsia" w:ascii="宋体" w:hAnsi="宋体" w:eastAsia="宋体" w:cs="宋体"/>
                <w:spacing w:val="-6"/>
                <w:sz w:val="20"/>
                <w:szCs w:val="20"/>
                <w:vertAlign w:val="baseline"/>
                <w:lang w:val="en-US" w:eastAsia="zh-CN"/>
              </w:rPr>
              <w:t>荐项目原则上不超过5个，且需经省级主管部门审核后报送。中央企业不占属地指标，可直接报送，推荐项目原则上不超过3个。部机关相关司局推荐项目数量一般不超过5个</w:t>
            </w:r>
            <w:r>
              <w:rPr>
                <w:rFonts w:hint="eastAsia" w:ascii="宋体" w:hAnsi="宋体" w:eastAsia="宋体" w:cs="宋体"/>
                <w:spacing w:val="0"/>
                <w:sz w:val="20"/>
                <w:szCs w:val="20"/>
                <w:vertAlign w:val="baseline"/>
                <w:lang w:val="en-US" w:eastAsia="zh-CN"/>
              </w:rPr>
              <w:t>。“数字领航”企业方向不占上述推荐名额，各推荐主体推荐项目数量不超过各自上述推荐项目数量的1/3。推荐项目须按优先级顺序进行排列。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pacing w:val="0"/>
                <w:sz w:val="20"/>
                <w:szCs w:val="20"/>
                <w:vertAlign w:val="baseline"/>
                <w:lang w:val="en-US" w:eastAsia="zh-CN"/>
              </w:rPr>
              <w:t>（三）申报条件。对于已列入前期同类试点示范的项目或仍在示范期的项目不可重复申报(“数字领航”企业方向不受此限制),未建或在建项目不可申报。中德智能制造合作方向不接收仅购买产品但未进行实质性合作的项目。</w:t>
            </w:r>
          </w:p>
        </w:tc>
      </w:tr>
    </w:tbl>
    <w:p>
      <w:pPr>
        <w:keepNext w:val="0"/>
        <w:keepLines w:val="0"/>
        <w:pageBreakBefore w:val="0"/>
        <w:kinsoku/>
        <w:wordWrap/>
        <w:overflowPunct/>
        <w:topLinePunct w:val="0"/>
        <w:autoSpaceDE/>
        <w:autoSpaceDN/>
        <w:bidi w:val="0"/>
        <w:adjustRightInd/>
        <w:snapToGrid/>
        <w:spacing w:line="310" w:lineRule="exac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br w:type="page"/>
      </w:r>
    </w:p>
    <w:tbl>
      <w:tblPr>
        <w:tblStyle w:val="8"/>
        <w:tblW w:w="59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3"/>
        <w:gridCol w:w="534"/>
        <w:gridCol w:w="577"/>
        <w:gridCol w:w="621"/>
        <w:gridCol w:w="36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6" w:hRule="atLeast"/>
          <w:tblHeader/>
          <w:jc w:val="center"/>
        </w:trPr>
        <w:tc>
          <w:tcPr>
            <w:tcW w:w="1067" w:type="dxa"/>
            <w:gridSpan w:val="2"/>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项目</w:t>
            </w:r>
          </w:p>
        </w:tc>
        <w:tc>
          <w:tcPr>
            <w:tcW w:w="577"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奖励</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金额</w:t>
            </w:r>
          </w:p>
        </w:tc>
        <w:tc>
          <w:tcPr>
            <w:tcW w:w="621"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申报时间</w:t>
            </w:r>
          </w:p>
        </w:tc>
        <w:tc>
          <w:tcPr>
            <w:tcW w:w="3688" w:type="dxa"/>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黑体" w:hAnsi="黑体" w:eastAsia="黑体" w:cs="黑体"/>
                <w:b/>
                <w:bCs/>
                <w:sz w:val="20"/>
                <w:szCs w:val="20"/>
                <w:highlight w:val="none"/>
                <w:vertAlign w:val="baseline"/>
                <w:lang w:eastAsia="zh-CN"/>
              </w:rPr>
            </w:pPr>
            <w:r>
              <w:rPr>
                <w:rFonts w:hint="eastAsia" w:ascii="黑体" w:hAnsi="黑体" w:eastAsia="黑体" w:cs="黑体"/>
                <w:b/>
                <w:bCs/>
                <w:sz w:val="20"/>
                <w:szCs w:val="20"/>
                <w:highlight w:val="none"/>
                <w:vertAlign w:val="baseline"/>
                <w:lang w:eastAsia="zh-CN"/>
              </w:rPr>
              <w:t>核心条款（申报门槛）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73" w:hRule="atLeast"/>
          <w:jc w:val="center"/>
        </w:trPr>
        <w:tc>
          <w:tcPr>
            <w:tcW w:w="5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工业技术改造项目</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100-1000万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每年三批左右，省经信厅通知</w:t>
            </w:r>
          </w:p>
        </w:tc>
        <w:tc>
          <w:tcPr>
            <w:tcW w:w="3688" w:type="dxa"/>
            <w:tcBorders>
              <w:tl2br w:val="nil"/>
              <w:tr2bl w:val="nil"/>
            </w:tcBorders>
            <w:vAlign w:val="center"/>
          </w:tcPr>
          <w:p>
            <w:pPr>
              <w:pStyle w:val="6"/>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425" w:leftChars="0" w:right="0" w:rightChars="0" w:hanging="425" w:firstLineChars="0"/>
              <w:jc w:val="both"/>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申报企业必须具有独立法人资格，在省内注册，财务管理合规，3</w:t>
            </w:r>
            <w:r>
              <w:rPr>
                <w:rFonts w:hint="eastAsia" w:ascii="宋体" w:hAnsi="宋体" w:eastAsia="宋体" w:cs="宋体"/>
                <w:spacing w:val="-20"/>
                <w:sz w:val="20"/>
                <w:szCs w:val="20"/>
                <w:vertAlign w:val="baseline"/>
                <w:lang w:eastAsia="zh-CN"/>
              </w:rPr>
              <w:t xml:space="preserve"> </w:t>
            </w:r>
            <w:r>
              <w:rPr>
                <w:rFonts w:hint="eastAsia" w:ascii="宋体" w:hAnsi="宋体" w:eastAsia="宋体" w:cs="宋体"/>
                <w:sz w:val="20"/>
                <w:szCs w:val="20"/>
                <w:vertAlign w:val="baseline"/>
                <w:lang w:eastAsia="zh-CN"/>
              </w:rPr>
              <w:t>年内获各级财政资金支持的项目在绩效评价、审计监督、财政检查中未出现违法违规行为，近3</w:t>
            </w:r>
            <w:r>
              <w:rPr>
                <w:rFonts w:hint="eastAsia" w:ascii="宋体" w:hAnsi="宋体" w:eastAsia="宋体" w:cs="宋体"/>
                <w:spacing w:val="-20"/>
                <w:sz w:val="20"/>
                <w:szCs w:val="20"/>
                <w:vertAlign w:val="baseline"/>
                <w:lang w:eastAsia="zh-CN"/>
              </w:rPr>
              <w:t xml:space="preserve"> </w:t>
            </w:r>
            <w:r>
              <w:rPr>
                <w:rFonts w:hint="eastAsia" w:ascii="宋体" w:hAnsi="宋体" w:eastAsia="宋体" w:cs="宋体"/>
                <w:sz w:val="20"/>
                <w:szCs w:val="20"/>
                <w:vertAlign w:val="baseline"/>
                <w:lang w:eastAsia="zh-CN"/>
              </w:rPr>
              <w:t>年在质量、安全、环保等方面未发生重大问题，企业法人未纳入失信被执行人名单；</w:t>
            </w:r>
          </w:p>
          <w:p>
            <w:pPr>
              <w:pStyle w:val="6"/>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425" w:leftChars="0" w:right="0" w:rightChars="0" w:hanging="425" w:firstLineChars="0"/>
              <w:jc w:val="both"/>
              <w:textAlignment w:val="auto"/>
              <w:rPr>
                <w:rFonts w:hint="eastAsia" w:ascii="宋体" w:hAnsi="宋体" w:eastAsia="宋体" w:cs="宋体"/>
                <w:spacing w:val="-11"/>
                <w:sz w:val="20"/>
                <w:szCs w:val="20"/>
                <w:vertAlign w:val="baseline"/>
                <w:lang w:eastAsia="zh-CN"/>
              </w:rPr>
            </w:pPr>
            <w:r>
              <w:rPr>
                <w:rFonts w:hint="eastAsia" w:ascii="宋体" w:hAnsi="宋体" w:eastAsia="宋体" w:cs="宋体"/>
                <w:spacing w:val="-6"/>
                <w:sz w:val="20"/>
                <w:szCs w:val="20"/>
                <w:vertAlign w:val="baseline"/>
                <w:lang w:eastAsia="zh-CN"/>
              </w:rPr>
              <w:t>申报项目必须符合国家产业政策，必须符合“两高”</w:t>
            </w:r>
            <w:r>
              <w:rPr>
                <w:rFonts w:hint="eastAsia" w:ascii="宋体" w:hAnsi="宋体" w:eastAsia="宋体" w:cs="宋体"/>
                <w:spacing w:val="-11"/>
                <w:sz w:val="20"/>
                <w:szCs w:val="20"/>
                <w:vertAlign w:val="baseline"/>
                <w:lang w:eastAsia="zh-CN"/>
              </w:rPr>
              <w:t>、排放、生态环境影响等方面的要求，在专项资金支持范围之内；</w:t>
            </w:r>
          </w:p>
          <w:p>
            <w:pPr>
              <w:pStyle w:val="6"/>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425" w:leftChars="0" w:right="0" w:righ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项目总投资</w:t>
            </w:r>
            <w:r>
              <w:rPr>
                <w:rFonts w:hint="eastAsia" w:ascii="宋体" w:hAnsi="宋体" w:eastAsia="宋体" w:cs="宋体"/>
                <w:sz w:val="20"/>
                <w:szCs w:val="20"/>
                <w:vertAlign w:val="baseline"/>
                <w:lang w:val="en-US" w:eastAsia="zh-CN"/>
              </w:rPr>
              <w:t>2000万元以上，其中设备投资1200万元以上，建设期不超过3个年度</w:t>
            </w:r>
            <w:r>
              <w:rPr>
                <w:rFonts w:hint="eastAsia" w:ascii="宋体" w:hAnsi="宋体" w:eastAsia="宋体" w:cs="宋体"/>
                <w:sz w:val="20"/>
                <w:szCs w:val="20"/>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90" w:hRule="atLeast"/>
          <w:jc w:val="center"/>
        </w:trPr>
        <w:tc>
          <w:tcPr>
            <w:tcW w:w="5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市</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6-500万</w:t>
            </w:r>
          </w:p>
        </w:tc>
        <w:tc>
          <w:tcPr>
            <w:tcW w:w="621" w:type="dxa"/>
            <w:tcBorders>
              <w:tl2br w:val="nil"/>
              <w:tr2bl w:val="nil"/>
            </w:tcBorders>
            <w:vAlign w:val="center"/>
          </w:tcPr>
          <w:p>
            <w:pPr>
              <w:pStyle w:val="13"/>
              <w:pageBreakBefore w:val="0"/>
              <w:kinsoku/>
              <w:wordWrap/>
              <w:overflowPunct/>
              <w:topLinePunct w:val="0"/>
              <w:autoSpaceDE/>
              <w:autoSpaceDN/>
              <w:bidi w:val="0"/>
              <w:adjustRightInd/>
              <w:snapToGrid/>
              <w:spacing w:line="250" w:lineRule="exact"/>
              <w:ind w:left="0" w:leftChars="0" w:firstLine="0" w:firstLineChars="0"/>
              <w:jc w:val="center"/>
              <w:textAlignment w:val="auto"/>
              <w:rPr>
                <w:rFonts w:hint="default"/>
                <w:sz w:val="20"/>
                <w:szCs w:val="20"/>
                <w:lang w:val="en-US" w:eastAsia="zh-CN"/>
              </w:rPr>
            </w:pPr>
            <w:r>
              <w:rPr>
                <w:rFonts w:hint="eastAsia"/>
                <w:sz w:val="20"/>
                <w:szCs w:val="20"/>
                <w:lang w:val="en-US" w:eastAsia="zh-CN"/>
              </w:rPr>
              <w:t>市科经局通知</w:t>
            </w:r>
          </w:p>
        </w:tc>
        <w:tc>
          <w:tcPr>
            <w:tcW w:w="3688" w:type="dxa"/>
            <w:tcBorders>
              <w:tl2br w:val="nil"/>
              <w:tr2bl w:val="nil"/>
            </w:tcBorders>
            <w:vAlign w:val="center"/>
          </w:tcPr>
          <w:p>
            <w:pPr>
              <w:pStyle w:val="6"/>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工业企业在麻城市注册，并具有独立法人资格，生产经营正常，财务管理规范，会计信用和纳税信用良好且无违法违规行为</w:t>
            </w:r>
            <w:r>
              <w:rPr>
                <w:rFonts w:hint="eastAsia" w:ascii="宋体" w:hAnsi="宋体" w:eastAsia="宋体" w:cs="宋体"/>
                <w:sz w:val="20"/>
                <w:szCs w:val="20"/>
                <w:vertAlign w:val="baseline"/>
                <w:lang w:val="en-US" w:eastAsia="zh-CN"/>
              </w:rPr>
              <w:t>；</w:t>
            </w:r>
          </w:p>
          <w:p>
            <w:pPr>
              <w:pStyle w:val="6"/>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425" w:leftChars="0" w:right="0" w:rightChars="0" w:hanging="425"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w:t>
            </w:r>
            <w:r>
              <w:rPr>
                <w:rFonts w:hint="eastAsia" w:ascii="宋体" w:hAnsi="宋体" w:eastAsia="宋体" w:cs="宋体"/>
                <w:spacing w:val="6"/>
                <w:sz w:val="20"/>
                <w:szCs w:val="20"/>
                <w:vertAlign w:val="baseline"/>
                <w:lang w:val="en-US" w:eastAsia="zh-CN"/>
              </w:rPr>
              <w:t>业技改投资项目总投资不低于500万元，生产性设备购置投资不低</w:t>
            </w:r>
            <w:r>
              <w:rPr>
                <w:rFonts w:hint="eastAsia" w:ascii="宋体" w:hAnsi="宋体" w:eastAsia="宋体" w:cs="宋体"/>
                <w:sz w:val="20"/>
                <w:szCs w:val="20"/>
                <w:vertAlign w:val="baseline"/>
                <w:lang w:val="en-US" w:eastAsia="zh-CN"/>
              </w:rPr>
              <w:t>于100万元，生产性设备购置</w:t>
            </w:r>
            <w:r>
              <w:rPr>
                <w:rFonts w:hint="eastAsia" w:ascii="宋体" w:hAnsi="宋体" w:eastAsia="宋体" w:cs="宋体"/>
                <w:spacing w:val="6"/>
                <w:sz w:val="20"/>
                <w:szCs w:val="20"/>
                <w:vertAlign w:val="baseline"/>
                <w:lang w:val="en-US" w:eastAsia="zh-CN"/>
              </w:rPr>
              <w:t>时间跨度不超过2个年度（凭增值税发票</w:t>
            </w:r>
            <w:r>
              <w:rPr>
                <w:rFonts w:hint="eastAsia" w:ascii="宋体" w:hAnsi="宋体" w:eastAsia="宋体" w:cs="宋体"/>
                <w:sz w:val="20"/>
                <w:szCs w:val="20"/>
                <w:vertAlign w:val="baseline"/>
                <w:lang w:val="en-US" w:eastAsia="zh-CN"/>
              </w:rPr>
              <w:t>）；</w:t>
            </w:r>
          </w:p>
          <w:p>
            <w:pPr>
              <w:pStyle w:val="6"/>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425" w:leftChars="0" w:right="0" w:righ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工业技改项目办理备案并入统计库。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68" w:hRule="atLeast"/>
          <w:jc w:val="center"/>
        </w:trPr>
        <w:tc>
          <w:tcPr>
            <w:tcW w:w="5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sz w:val="20"/>
                <w:szCs w:val="20"/>
                <w:vertAlign w:val="baseline"/>
                <w:lang w:eastAsia="zh-CN"/>
              </w:rPr>
              <w:t>省级创新型中小企业</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eastAsia="zh-CN"/>
              </w:rPr>
              <w:t>每年</w:t>
            </w:r>
            <w:r>
              <w:rPr>
                <w:rFonts w:hint="eastAsia" w:ascii="宋体" w:hAnsi="宋体" w:eastAsia="宋体" w:cs="宋体"/>
                <w:sz w:val="20"/>
                <w:szCs w:val="20"/>
                <w:vertAlign w:val="baseline"/>
                <w:lang w:val="en-US" w:eastAsia="zh-CN"/>
              </w:rPr>
              <w:t>2月、10月左右，黄冈经信局通知</w:t>
            </w:r>
          </w:p>
        </w:tc>
        <w:tc>
          <w:tcPr>
            <w:tcW w:w="3688" w:type="dxa"/>
            <w:tcBorders>
              <w:tl2br w:val="nil"/>
              <w:tr2bl w:val="nil"/>
            </w:tcBorders>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Chars="0" w:right="0" w:right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认定条件：一、公告条件评价得分达到60分以上（其中创新能力指标得分不低于20分、成长性指标及专业化指标得分均不低于15分），或满足下列条件之一：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Chars="0" w:right="0" w:right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（一）近三年内获得过国家级、省级科技奖励。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Chars="0" w:right="0" w:right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（二）获得高新技术企业、国家级技术创新示范企业、知识产权优势企业和知识产权示范企业等荣誉（均为有效期内）。（高企可直接申报，申报即通过，无需评定）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Chars="0" w:right="0" w:right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（三）拥有经认定的省部级以上研发机构。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Chars="0" w:right="0" w:right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（四）近三年新增股权融资总额（合格机构投资者的实缴额）500万元以上。</w:t>
            </w:r>
            <w:r>
              <w:rPr>
                <w:rFonts w:hint="eastAsia" w:ascii="宋体" w:hAnsi="宋体" w:eastAsia="宋体" w:cs="宋体"/>
                <w:sz w:val="20"/>
                <w:szCs w:val="20"/>
                <w:vertAlign w:val="baseline"/>
                <w:lang w:eastAsia="zh-CN"/>
              </w:rPr>
              <w:t>评分指标详见《湖北省优质中小企业梯度培育管理实施细则》中创新型中小企业评价标准。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exact"/>
              <w:ind w:left="0" w:leftChars="0" w:right="0" w:rightChars="0" w:firstLine="0" w:firstLineChars="0"/>
              <w:jc w:val="both"/>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申报方法：符合条件的中小企业，需登陆优质中小企业梯度培育平台（https://zjtx.miit.gov.cn)填报相关企业信息及对应材料，完整填写《创新型中小企业自评表》，上传佐证材料，并按要求提供纸质资料。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95" w:hRule="atLeast"/>
          <w:jc w:val="center"/>
        </w:trPr>
        <w:tc>
          <w:tcPr>
            <w:tcW w:w="5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sz w:val="20"/>
                <w:szCs w:val="20"/>
                <w:vertAlign w:val="baseline"/>
                <w:lang w:eastAsia="zh-CN"/>
              </w:rPr>
              <w:t>国家级专精特新“小巨人”企业</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50万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每年</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5月左右，工信部通知</w:t>
            </w:r>
          </w:p>
        </w:tc>
        <w:tc>
          <w:tcPr>
            <w:tcW w:w="3688" w:type="dxa"/>
            <w:tcBorders>
              <w:tl2br w:val="nil"/>
              <w:tr2bl w:val="nil"/>
            </w:tcBorders>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firstLine="380" w:firstLineChars="200"/>
              <w:jc w:val="both"/>
              <w:textAlignment w:val="auto"/>
              <w:rPr>
                <w:rFonts w:hint="eastAsia"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专精特新“小巨人”企业认定需同时满足专、精、特、新、链、品六个方面指标。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jc w:val="both"/>
              <w:textAlignment w:val="auto"/>
              <w:rPr>
                <w:rFonts w:hint="default"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（1）专业化指标：企业从事特定细分市场时间达到</w:t>
            </w:r>
            <w:r>
              <w:rPr>
                <w:rFonts w:hint="eastAsia" w:ascii="宋体" w:hAnsi="宋体" w:eastAsia="宋体" w:cs="宋体"/>
                <w:spacing w:val="0"/>
                <w:sz w:val="19"/>
                <w:szCs w:val="19"/>
                <w:vertAlign w:val="baseline"/>
                <w:lang w:eastAsia="zh-CN"/>
              </w:rPr>
              <w:t>3 年</w:t>
            </w:r>
            <w:r>
              <w:rPr>
                <w:rFonts w:hint="eastAsia" w:ascii="宋体" w:hAnsi="宋体" w:eastAsia="宋体" w:cs="宋体"/>
                <w:spacing w:val="0"/>
                <w:sz w:val="19"/>
                <w:szCs w:val="19"/>
                <w:vertAlign w:val="baseline"/>
                <w:lang w:val="en-US" w:eastAsia="zh-CN"/>
              </w:rPr>
              <w:t>以上，主营业务收入总额占营业收入总额比重不低于70%，近2年主营业务收入平均增长率不低于5%。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jc w:val="both"/>
              <w:textAlignment w:val="auto"/>
              <w:rPr>
                <w:rFonts w:hint="eastAsia"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（2）精细化指标：注重数字化、绿色化发展，在研发设计、生产制造、供应链管理等环节，至少1项核心业务采用信息系统支撑。取</w:t>
            </w:r>
            <w:r>
              <w:rPr>
                <w:rFonts w:hint="eastAsia" w:ascii="宋体" w:hAnsi="宋体" w:eastAsia="宋体" w:cs="宋体"/>
                <w:spacing w:val="-6"/>
                <w:sz w:val="19"/>
                <w:szCs w:val="19"/>
                <w:vertAlign w:val="baseline"/>
                <w:lang w:val="en-US" w:eastAsia="zh-CN"/>
              </w:rPr>
              <w:t>得相关管理体系认证，或产品通过发达国家和地区产品认证（国际标准协会行业认证）。截至上年末，企业资产负债率不高于70%。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jc w:val="both"/>
              <w:textAlignment w:val="auto"/>
              <w:rPr>
                <w:rFonts w:hint="eastAsia"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（3）特色化指标：主导产品在全国细分市场占有率达到 10%以上，且享有较高知名度和影响力。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jc w:val="both"/>
              <w:textAlignment w:val="auto"/>
              <w:rPr>
                <w:rFonts w:hint="eastAsia"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w:t>
            </w:r>
            <w:r>
              <w:rPr>
                <w:rFonts w:hint="eastAsia" w:ascii="宋体" w:hAnsi="宋体" w:eastAsia="宋体" w:cs="宋体"/>
                <w:spacing w:val="-6"/>
                <w:sz w:val="19"/>
                <w:szCs w:val="19"/>
                <w:vertAlign w:val="baseline"/>
                <w:lang w:val="en-US" w:eastAsia="zh-CN"/>
              </w:rPr>
              <w:t>4）创新能力指标：上年度营业收入总额在1亿元以上的企业，近2年</w:t>
            </w:r>
            <w:r>
              <w:rPr>
                <w:rFonts w:hint="eastAsia" w:ascii="宋体" w:hAnsi="宋体" w:eastAsia="宋体" w:cs="宋体"/>
                <w:spacing w:val="0"/>
                <w:sz w:val="19"/>
                <w:szCs w:val="19"/>
                <w:vertAlign w:val="baseline"/>
                <w:lang w:val="en-US" w:eastAsia="zh-CN"/>
              </w:rPr>
              <w:t>研发费</w:t>
            </w:r>
            <w:r>
              <w:rPr>
                <w:rFonts w:hint="eastAsia" w:ascii="宋体" w:hAnsi="宋体" w:eastAsia="宋体" w:cs="宋体"/>
                <w:spacing w:val="-6"/>
                <w:sz w:val="19"/>
                <w:szCs w:val="19"/>
                <w:vertAlign w:val="baseline"/>
                <w:lang w:val="en-US" w:eastAsia="zh-CN"/>
              </w:rPr>
              <w:t>用总额占营业收入总额比重均不低于3%；上年度营业收入总额在 5000万元—1亿元的企业，近2年研发费用总额占营业收入总额比重均不低于6%；自建或与</w:t>
            </w:r>
            <w:r>
              <w:rPr>
                <w:rFonts w:hint="eastAsia" w:ascii="宋体" w:hAnsi="宋体" w:eastAsia="宋体" w:cs="宋体"/>
                <w:spacing w:val="0"/>
                <w:sz w:val="19"/>
                <w:szCs w:val="19"/>
                <w:vertAlign w:val="baseline"/>
                <w:lang w:val="en-US" w:eastAsia="zh-CN"/>
              </w:rPr>
              <w:t>高等院校、科</w:t>
            </w:r>
            <w:r>
              <w:rPr>
                <w:rFonts w:hint="eastAsia" w:ascii="宋体" w:hAnsi="宋体" w:eastAsia="宋体" w:cs="宋体"/>
                <w:spacing w:val="-6"/>
                <w:sz w:val="19"/>
                <w:szCs w:val="19"/>
                <w:vertAlign w:val="baseline"/>
                <w:lang w:val="en-US" w:eastAsia="zh-CN"/>
              </w:rPr>
              <w:t>研</w:t>
            </w:r>
            <w:r>
              <w:rPr>
                <w:rFonts w:hint="eastAsia" w:ascii="宋体" w:hAnsi="宋体" w:eastAsia="宋体" w:cs="宋体"/>
                <w:spacing w:val="0"/>
                <w:sz w:val="19"/>
                <w:szCs w:val="19"/>
                <w:vertAlign w:val="baseline"/>
                <w:lang w:val="en-US" w:eastAsia="zh-CN"/>
              </w:rPr>
              <w:t>机构联合建立</w:t>
            </w:r>
            <w:r>
              <w:rPr>
                <w:rFonts w:hint="eastAsia" w:ascii="宋体" w:hAnsi="宋体" w:eastAsia="宋体" w:cs="宋体"/>
                <w:spacing w:val="-6"/>
                <w:sz w:val="19"/>
                <w:szCs w:val="19"/>
                <w:vertAlign w:val="baseline"/>
                <w:lang w:val="en-US" w:eastAsia="zh-CN"/>
              </w:rPr>
              <w:t>研</w:t>
            </w:r>
            <w:r>
              <w:rPr>
                <w:rFonts w:hint="eastAsia" w:ascii="宋体" w:hAnsi="宋体" w:eastAsia="宋体" w:cs="宋体"/>
                <w:spacing w:val="0"/>
                <w:sz w:val="19"/>
                <w:szCs w:val="19"/>
                <w:vertAlign w:val="baseline"/>
                <w:lang w:val="en-US" w:eastAsia="zh-CN"/>
              </w:rPr>
              <w:t>发机构</w:t>
            </w:r>
            <w:r>
              <w:rPr>
                <w:rFonts w:hint="eastAsia" w:ascii="宋体" w:hAnsi="宋体" w:eastAsia="宋体" w:cs="宋体"/>
                <w:spacing w:val="-6"/>
                <w:sz w:val="19"/>
                <w:szCs w:val="19"/>
                <w:vertAlign w:val="baseline"/>
                <w:lang w:val="en-US" w:eastAsia="zh-CN"/>
              </w:rPr>
              <w:t>，设立技术研究院、企业技术中心、企业工程中心、院士专家工作站、博士后工作站等；</w:t>
            </w:r>
            <w:r>
              <w:rPr>
                <w:rFonts w:hint="eastAsia" w:ascii="宋体" w:hAnsi="宋体" w:eastAsia="宋体" w:cs="宋体"/>
                <w:spacing w:val="0"/>
                <w:sz w:val="19"/>
                <w:szCs w:val="19"/>
                <w:vertAlign w:val="baseline"/>
                <w:lang w:val="en-US" w:eastAsia="zh-CN"/>
              </w:rPr>
              <w:t>拥有2项以上与主导产品相关的Ⅰ类知识产权。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firstLine="380" w:firstLineChars="200"/>
              <w:jc w:val="both"/>
              <w:textAlignment w:val="auto"/>
              <w:rPr>
                <w:rFonts w:hint="eastAsia"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创新能力指标直通条件：近三年获得</w:t>
            </w:r>
            <w:r>
              <w:rPr>
                <w:rFonts w:hint="eastAsia" w:ascii="宋体" w:hAnsi="宋体" w:eastAsia="宋体" w:cs="宋体"/>
                <w:spacing w:val="-6"/>
                <w:sz w:val="19"/>
                <w:szCs w:val="19"/>
                <w:vertAlign w:val="baseline"/>
                <w:lang w:val="en-US" w:eastAsia="zh-CN"/>
              </w:rPr>
              <w:t>国家级</w:t>
            </w:r>
            <w:r>
              <w:rPr>
                <w:rFonts w:hint="eastAsia" w:ascii="宋体" w:hAnsi="宋体" w:eastAsia="宋体" w:cs="宋体"/>
                <w:spacing w:val="0"/>
                <w:sz w:val="19"/>
                <w:szCs w:val="19"/>
                <w:vertAlign w:val="baseline"/>
                <w:lang w:val="en-US" w:eastAsia="zh-CN"/>
              </w:rPr>
              <w:t>科技奖励，并在获奖单位中排名前三或近三年进入“创客中国”中小企业创新创业大赛全国50 强企业组名单。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jc w:val="both"/>
              <w:textAlignment w:val="auto"/>
              <w:rPr>
                <w:rFonts w:hint="eastAsia" w:ascii="宋体" w:hAnsi="宋体" w:eastAsia="宋体" w:cs="宋体"/>
                <w:spacing w:val="0"/>
                <w:sz w:val="19"/>
                <w:szCs w:val="19"/>
                <w:vertAlign w:val="baseline"/>
                <w:lang w:val="en-US" w:eastAsia="zh-CN"/>
              </w:rPr>
            </w:pPr>
            <w:r>
              <w:rPr>
                <w:rFonts w:hint="eastAsia" w:ascii="宋体" w:hAnsi="宋体" w:eastAsia="宋体" w:cs="宋体"/>
                <w:spacing w:val="0"/>
                <w:sz w:val="19"/>
                <w:szCs w:val="19"/>
                <w:vertAlign w:val="baseline"/>
                <w:lang w:val="en-US" w:eastAsia="zh-CN"/>
              </w:rPr>
              <w:t>（5）产业链配套指标：位于产业链关键环节，围绕重点产业链实现关键基础技术和产品的产业化应用，发挥“补短板”“锻长板”“填空白”等重要作用。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6" w:lineRule="exact"/>
              <w:ind w:leftChars="0" w:right="0" w:rightChars="0"/>
              <w:jc w:val="both"/>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pacing w:val="-6"/>
                <w:sz w:val="19"/>
                <w:szCs w:val="19"/>
                <w:vertAlign w:val="baseline"/>
                <w:lang w:val="en-US" w:eastAsia="zh-CN"/>
              </w:rPr>
              <w:t>（6）申报企业必须为省级专精特新中小企业。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85" w:hRule="atLeast"/>
          <w:jc w:val="center"/>
        </w:trPr>
        <w:tc>
          <w:tcPr>
            <w:tcW w:w="5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sz w:val="20"/>
                <w:szCs w:val="20"/>
              </w:rPr>
            </w:pPr>
            <w:r>
              <w:rPr>
                <w:rFonts w:hint="eastAsia" w:ascii="宋体" w:hAnsi="宋体" w:eastAsia="宋体" w:cs="宋体"/>
                <w:b/>
                <w:bCs/>
                <w:sz w:val="20"/>
                <w:szCs w:val="20"/>
                <w:vertAlign w:val="baseline"/>
                <w:lang w:eastAsia="zh-CN"/>
              </w:rPr>
              <w:t>省级专精特新中小企业</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20万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eastAsia="zh-CN"/>
              </w:rPr>
              <w:t>省经信厅通知</w:t>
            </w:r>
          </w:p>
        </w:tc>
        <w:tc>
          <w:tcPr>
            <w:tcW w:w="3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同时满足以下四项条件即视为满足认定条件：</w:t>
            </w:r>
          </w:p>
          <w:p>
            <w:pPr>
              <w:keepNext w:val="0"/>
              <w:keepLines w:val="0"/>
              <w:pageBreakBefore w:val="0"/>
              <w:widowControl w:val="0"/>
              <w:numPr>
                <w:ilvl w:val="0"/>
                <w:numId w:val="13"/>
              </w:numPr>
              <w:kinsoku/>
              <w:wordWrap/>
              <w:overflowPunct/>
              <w:topLinePunct w:val="0"/>
              <w:autoSpaceDE/>
              <w:autoSpaceDN/>
              <w:bidi w:val="0"/>
              <w:adjustRightInd/>
              <w:snapToGrid/>
              <w:spacing w:line="27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从事特定细分市场时间达到</w:t>
            </w:r>
            <w:r>
              <w:rPr>
                <w:rFonts w:hint="eastAsia" w:ascii="宋体" w:hAnsi="宋体" w:eastAsia="宋体" w:cs="宋体"/>
                <w:sz w:val="20"/>
                <w:szCs w:val="20"/>
                <w:vertAlign w:val="baseline"/>
                <w:lang w:val="en-US" w:eastAsia="zh-CN"/>
              </w:rPr>
              <w:t>2</w:t>
            </w:r>
            <w:r>
              <w:rPr>
                <w:rFonts w:hint="eastAsia" w:ascii="宋体" w:hAnsi="宋体" w:eastAsia="宋体" w:cs="宋体"/>
                <w:sz w:val="20"/>
                <w:szCs w:val="20"/>
                <w:vertAlign w:val="baseline"/>
                <w:lang w:eastAsia="zh-CN"/>
              </w:rPr>
              <w:t>年以上。</w:t>
            </w:r>
          </w:p>
          <w:p>
            <w:pPr>
              <w:keepNext w:val="0"/>
              <w:keepLines w:val="0"/>
              <w:pageBreakBefore w:val="0"/>
              <w:widowControl w:val="0"/>
              <w:numPr>
                <w:ilvl w:val="0"/>
                <w:numId w:val="13"/>
              </w:numPr>
              <w:kinsoku/>
              <w:wordWrap/>
              <w:overflowPunct/>
              <w:topLinePunct w:val="0"/>
              <w:autoSpaceDE/>
              <w:autoSpaceDN/>
              <w:bidi w:val="0"/>
              <w:adjustRightInd/>
              <w:snapToGrid/>
              <w:spacing w:line="27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上年度研发费用总额不低于 100 万元，且占营业 收入总额比重不低于3%。</w:t>
            </w:r>
          </w:p>
          <w:p>
            <w:pPr>
              <w:keepNext w:val="0"/>
              <w:keepLines w:val="0"/>
              <w:pageBreakBefore w:val="0"/>
              <w:widowControl w:val="0"/>
              <w:numPr>
                <w:ilvl w:val="0"/>
                <w:numId w:val="13"/>
              </w:numPr>
              <w:kinsoku/>
              <w:wordWrap/>
              <w:overflowPunct/>
              <w:topLinePunct w:val="0"/>
              <w:autoSpaceDE/>
              <w:autoSpaceDN/>
              <w:bidi w:val="0"/>
              <w:adjustRightInd/>
              <w:snapToGrid/>
              <w:spacing w:line="27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上年度营业收入总额在 1000 万元以上，或上年 度营业收入总额在 1000 万元以下，但近 2 年新增股权融资 总额（合格机构投资者的实缴额）达到 2000 万元以上。</w:t>
            </w:r>
          </w:p>
          <w:p>
            <w:pPr>
              <w:keepNext w:val="0"/>
              <w:keepLines w:val="0"/>
              <w:pageBreakBefore w:val="0"/>
              <w:widowControl w:val="0"/>
              <w:numPr>
                <w:ilvl w:val="0"/>
                <w:numId w:val="13"/>
              </w:numPr>
              <w:kinsoku/>
              <w:wordWrap/>
              <w:overflowPunct/>
              <w:topLinePunct w:val="0"/>
              <w:autoSpaceDE/>
              <w:autoSpaceDN/>
              <w:bidi w:val="0"/>
              <w:adjustRightInd/>
              <w:snapToGrid/>
              <w:spacing w:line="270" w:lineRule="exact"/>
              <w:ind w:left="425" w:leftChars="0" w:hanging="425" w:firstLine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评价得分达到</w:t>
            </w:r>
            <w:r>
              <w:rPr>
                <w:rFonts w:hint="eastAsia" w:ascii="宋体" w:hAnsi="宋体" w:eastAsia="宋体" w:cs="宋体"/>
                <w:sz w:val="20"/>
                <w:szCs w:val="20"/>
                <w:vertAlign w:val="baseline"/>
                <w:lang w:val="en-US" w:eastAsia="zh-CN"/>
              </w:rPr>
              <w:t>60</w:t>
            </w:r>
            <w:r>
              <w:rPr>
                <w:rFonts w:hint="eastAsia" w:ascii="宋体" w:hAnsi="宋体" w:eastAsia="宋体" w:cs="宋体"/>
                <w:sz w:val="20"/>
                <w:szCs w:val="20"/>
                <w:vertAlign w:val="baseline"/>
                <w:lang w:eastAsia="zh-CN"/>
              </w:rPr>
              <w:t>分以上或满足下列条件之一：1.近三年获得过省级科技奖励，并在获奖单位中排名前 三；或获得国家级科技奖励，并在获奖单位中排名前五。2.近两年研发费用总额均值在1000万元以上。3.近两年新增股权融资总额（合格机构投资者的实缴额）6000万元以上。4.近三年进入“创客中国”中小企业创新创业大赛全国 500强企业组名单。 评分指标详见《湖北省优质中小企业梯度培育管理实施细则》中专精特新中小企业评价标准。</w:t>
            </w:r>
          </w:p>
          <w:p>
            <w:pPr>
              <w:keepNext w:val="0"/>
              <w:keepLines w:val="0"/>
              <w:pageBreakBefore w:val="0"/>
              <w:widowControl w:val="0"/>
              <w:numPr>
                <w:ilvl w:val="0"/>
                <w:numId w:val="13"/>
              </w:numPr>
              <w:kinsoku/>
              <w:wordWrap/>
              <w:overflowPunct/>
              <w:topLinePunct w:val="0"/>
              <w:autoSpaceDE/>
              <w:autoSpaceDN/>
              <w:bidi w:val="0"/>
              <w:adjustRightInd/>
              <w:snapToGrid/>
              <w:spacing w:line="270" w:lineRule="exact"/>
              <w:ind w:left="425" w:leftChars="0" w:hanging="425" w:firstLineChars="0"/>
              <w:jc w:val="both"/>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eastAsia="zh-CN"/>
              </w:rPr>
              <w:t>申报企业必须为省级创新型中小企业。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4" w:hRule="atLeast"/>
          <w:jc w:val="center"/>
        </w:trPr>
        <w:tc>
          <w:tcPr>
            <w:tcW w:w="5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单项冠军企业（产品）</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工信部通知</w:t>
            </w:r>
          </w:p>
        </w:tc>
        <w:tc>
          <w:tcPr>
            <w:tcW w:w="3688"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（一）坚持专业化发展。企业长期专注并深耕于产业链某一环节或某一产品领域。从事相关领域达10年及以上，属于新产品的应达到3年及以上。</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（二）市场份额全球领先。企业申请产品的市场占有率位居全球前 3。</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（三）创新能力强。企业生产技术、工艺国际领先，重视研发投入，拥有核心自主知识产权，主导或参与制定相关领域技术标准。</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四）质量效益高。企业申请产品质量精良，关键性能指标处于国际同类产品领先水平。经营业绩优秀，盈利能力超过行业企业的总体水平。重视并实施国际化经营和品牌战略，全球市场前景好，建立完善的品牌培育管理体系并取得良好成效。</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五）具有独立法人资格，具有健全的财务、知识产权、技术标准、质量保证和安全生产等管理制度。近三年无环境、质量、安全等违法记录，企业申请产品能耗达到能耗限额标准先进值，安全生产水平达到行业先进水平。</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（六）企业依据自身条件在单项冠军示范企业</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和单项冠军产品中择一申请，申请单项冠军示范企业的，相应产品的销售收入须占企业主营业务收入的 70%及以上。申请单项冠军产品的，只能申请一个产品。</w:t>
            </w:r>
          </w:p>
          <w:p>
            <w:pPr>
              <w:pStyle w:val="13"/>
              <w:keepNext w:val="0"/>
              <w:keepLines w:val="0"/>
              <w:pageBreakBefore w:val="0"/>
              <w:widowControl w:val="0"/>
              <w:kinsoku/>
              <w:wordWrap/>
              <w:overflowPunct/>
              <w:topLinePunct w:val="0"/>
              <w:autoSpaceDE/>
              <w:autoSpaceDN/>
              <w:bidi w:val="0"/>
              <w:adjustRightInd/>
              <w:snapToGrid/>
              <w:spacing w:line="236" w:lineRule="exact"/>
              <w:ind w:left="0" w:leftChars="0" w:firstLine="0"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（七）年销售收入 4 亿元以下企业，如申请单项冠军，应为已入选的专精特新“小巨人”企业。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84" w:hRule="atLeast"/>
          <w:jc w:val="center"/>
        </w:trPr>
        <w:tc>
          <w:tcPr>
            <w:tcW w:w="5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单项冠军企业（产品）</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40万/20万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省经信厅通知</w:t>
            </w:r>
          </w:p>
        </w:tc>
        <w:tc>
          <w:tcPr>
            <w:tcW w:w="3688" w:type="dxa"/>
            <w:tcBorders>
              <w:tl2br w:val="nil"/>
              <w:tr2bl w:val="nil"/>
            </w:tcBorders>
            <w:vAlign w:val="center"/>
          </w:tcPr>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聚焦有限的目标市场，主要从事制造业1-2个细分产品市场且经营时间应达到3年及以上。企业依据自身条件在单项冠军示范企业和单项冠军产品中择一申请，申报“单项冠军示范企业”的，细分产品销售收入应占企业全部业务收入的60%以上，申请单项冠军产品的，只能申请一个产品。</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在相关细分产品市场中，拥有强大的市场地位和很高的市场份额，单项产品市场占有率位居全国前3位或省内前2位。</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生产技术、工艺国内领先，产品质量精良，相关关键性能指标处于国内同类产品的领先水平。</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制定并实施品牌战略，建立完善的品牌培育管理体系并取得良好绩效。</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企业为具有独立法人资格的规模以上工业企业，具</w:t>
            </w:r>
            <w:r>
              <w:rPr>
                <w:rFonts w:hint="eastAsia" w:ascii="宋体" w:hAnsi="宋体" w:eastAsia="宋体" w:cs="宋体"/>
                <w:spacing w:val="-6"/>
                <w:kern w:val="2"/>
                <w:sz w:val="20"/>
                <w:szCs w:val="20"/>
                <w:vertAlign w:val="baseline"/>
                <w:lang w:val="en-US" w:eastAsia="zh-CN" w:bidi="ar-SA"/>
              </w:rPr>
              <w:t>有健全的财务、知识产权、技术标准和质量保证等管理制度。</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企业近三年无环保、质量、安全等违法记录，企业产品能耗达到能耗限额标准先进值。</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符合工业强基工程等重点方向，从事细分产品市场属于制造业关键基础材料、核心零部件、专用高端产品。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80" w:hRule="atLeast"/>
          <w:jc w:val="center"/>
        </w:trPr>
        <w:tc>
          <w:tcPr>
            <w:tcW w:w="5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服务型制造示范企业</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工信部通知</w:t>
            </w:r>
          </w:p>
        </w:tc>
        <w:tc>
          <w:tcPr>
            <w:tcW w:w="3688" w:type="dxa"/>
            <w:tcBorders>
              <w:tl2br w:val="nil"/>
              <w:tr2bl w:val="nil"/>
            </w:tcBorders>
            <w:vAlign w:val="center"/>
          </w:tcPr>
          <w:p>
            <w:pPr>
              <w:pStyle w:val="13"/>
              <w:keepNext w:val="0"/>
              <w:keepLines w:val="0"/>
              <w:pageBreakBefore w:val="0"/>
              <w:widowControl w:val="0"/>
              <w:numPr>
                <w:ilvl w:val="0"/>
                <w:numId w:val="15"/>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申报主体应在中华人民共和国境内注册，具有独立法人资格，运营和财务状况良好，近3年未发生重大质量、环保或安全事故，没有违法行为或涉嫌违法正在接受审查的情况。</w:t>
            </w:r>
          </w:p>
          <w:p>
            <w:pPr>
              <w:pStyle w:val="13"/>
              <w:keepNext w:val="0"/>
              <w:keepLines w:val="0"/>
              <w:pageBreakBefore w:val="0"/>
              <w:widowControl w:val="0"/>
              <w:numPr>
                <w:ilvl w:val="0"/>
                <w:numId w:val="15"/>
              </w:numPr>
              <w:kinsoku/>
              <w:wordWrap/>
              <w:overflowPunct/>
              <w:topLinePunct w:val="0"/>
              <w:autoSpaceDE/>
              <w:autoSpaceDN/>
              <w:bidi w:val="0"/>
              <w:adjustRightInd/>
              <w:snapToGrid/>
              <w:spacing w:line="250" w:lineRule="exact"/>
              <w:ind w:left="425" w:leftChars="0" w:hanging="425" w:firstLineChars="0"/>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原则上服务收入占企业营业收入比重达30%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05" w:hRule="atLeast"/>
          <w:jc w:val="center"/>
        </w:trPr>
        <w:tc>
          <w:tcPr>
            <w:tcW w:w="5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eastAsia="zh-CN"/>
              </w:rPr>
              <w:t>省经信厅通知</w:t>
            </w:r>
          </w:p>
        </w:tc>
        <w:tc>
          <w:tcPr>
            <w:tcW w:w="3688" w:type="dxa"/>
            <w:tcBorders>
              <w:tl2br w:val="nil"/>
              <w:tr2bl w:val="nil"/>
            </w:tcBorders>
            <w:vAlign w:val="center"/>
          </w:tcPr>
          <w:p>
            <w:pPr>
              <w:pStyle w:val="13"/>
              <w:keepNext w:val="0"/>
              <w:keepLines w:val="0"/>
              <w:pageBreakBefore w:val="0"/>
              <w:widowControl w:val="0"/>
              <w:numPr>
                <w:ilvl w:val="0"/>
                <w:numId w:val="16"/>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申报主体应在湖北省内注册，具有独立法人资格，运营和财务状况良好，近2年内未发生重大质量、环保或安全事故，没有严重失信、偷税漏税以及其他违法行为或涉嫌违法正在接受审查的情况。</w:t>
            </w:r>
          </w:p>
          <w:p>
            <w:pPr>
              <w:pStyle w:val="13"/>
              <w:keepNext w:val="0"/>
              <w:keepLines w:val="0"/>
              <w:pageBreakBefore w:val="0"/>
              <w:widowControl w:val="0"/>
              <w:numPr>
                <w:ilvl w:val="0"/>
                <w:numId w:val="16"/>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申报企业应为具有鲜明服务型制造特点的制造业企业，在本行业或相关领域内，其生产技术与工艺、服务能力与水平具有一定优势。</w:t>
            </w:r>
          </w:p>
          <w:p>
            <w:pPr>
              <w:pStyle w:val="13"/>
              <w:keepNext w:val="0"/>
              <w:keepLines w:val="0"/>
              <w:pageBreakBefore w:val="0"/>
              <w:widowControl w:val="0"/>
              <w:numPr>
                <w:ilvl w:val="0"/>
                <w:numId w:val="16"/>
              </w:numPr>
              <w:kinsoku/>
              <w:wordWrap/>
              <w:overflowPunct/>
              <w:topLinePunct w:val="0"/>
              <w:autoSpaceDE/>
              <w:autoSpaceDN/>
              <w:bidi w:val="0"/>
              <w:adjustRightInd/>
              <w:snapToGrid/>
              <w:spacing w:line="25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近3年内实施服务型制造项目不少于3个。对行业服务型制造发展起到较好的示范带动作用。服务收入占企业营业收入比重达25%以上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70" w:hRule="atLeast"/>
          <w:jc w:val="center"/>
        </w:trPr>
        <w:tc>
          <w:tcPr>
            <w:tcW w:w="5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绿色</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工厂</w:t>
            </w:r>
          </w:p>
        </w:tc>
        <w:tc>
          <w:tcPr>
            <w:tcW w:w="5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国</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家</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级</w:t>
            </w:r>
          </w:p>
          <w:p>
            <w:pPr>
              <w:pStyle w:val="2"/>
              <w:keepNext/>
              <w:keepLines/>
              <w:pageBreakBefore w:val="0"/>
              <w:widowControl w:val="0"/>
              <w:kinsoku/>
              <w:wordWrap/>
              <w:overflowPunct/>
              <w:topLinePunct w:val="0"/>
              <w:autoSpaceDE/>
              <w:autoSpaceDN/>
              <w:bidi w:val="0"/>
              <w:adjustRightInd/>
              <w:snapToGrid/>
              <w:spacing w:before="0" w:after="0" w:line="250" w:lineRule="exact"/>
              <w:textAlignment w:val="auto"/>
              <w:rPr>
                <w:rFonts w:hint="eastAsia"/>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省</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级</w:t>
            </w:r>
          </w:p>
        </w:tc>
        <w:tc>
          <w:tcPr>
            <w:tcW w:w="5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100万/20万</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工信部通知</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eastAsia="zh-CN"/>
              </w:rPr>
              <w:t>省经信厅通知</w:t>
            </w:r>
          </w:p>
        </w:tc>
        <w:tc>
          <w:tcPr>
            <w:tcW w:w="3688" w:type="dxa"/>
            <w:tcBorders>
              <w:tl2br w:val="nil"/>
              <w:tr2bl w:val="nil"/>
            </w:tcBorders>
            <w:vAlign w:val="center"/>
          </w:tcPr>
          <w:p>
            <w:pPr>
              <w:pStyle w:val="13"/>
              <w:keepNext w:val="0"/>
              <w:keepLines w:val="0"/>
              <w:pageBreakBefore w:val="0"/>
              <w:widowControl w:val="0"/>
              <w:numPr>
                <w:ilvl w:val="0"/>
                <w:numId w:val="17"/>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近三年正常经营生产，未发生安全（含网络安全、数据安全）、质量、环境污染等事故以及偷漏税等违法违规行为，未被列入工业节能监察整改以及失信被执行人名单等。</w:t>
            </w:r>
          </w:p>
          <w:p>
            <w:pPr>
              <w:pStyle w:val="13"/>
              <w:keepNext w:val="0"/>
              <w:keepLines w:val="0"/>
              <w:pageBreakBefore w:val="0"/>
              <w:widowControl w:val="0"/>
              <w:numPr>
                <w:ilvl w:val="0"/>
                <w:numId w:val="17"/>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符合《绿色工厂评价通则》（GB/T 36132-2018）相关评价标准。</w:t>
            </w:r>
          </w:p>
          <w:p>
            <w:pPr>
              <w:pStyle w:val="13"/>
              <w:keepNext w:val="0"/>
              <w:keepLines w:val="0"/>
              <w:pageBreakBefore w:val="0"/>
              <w:widowControl w:val="0"/>
              <w:numPr>
                <w:ilvl w:val="0"/>
                <w:numId w:val="17"/>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通过省级工业节能诊断评价及相关管理体系认证。</w:t>
            </w:r>
          </w:p>
          <w:p>
            <w:pPr>
              <w:pStyle w:val="13"/>
              <w:keepNext w:val="0"/>
              <w:keepLines w:val="0"/>
              <w:pageBreakBefore w:val="0"/>
              <w:widowControl w:val="0"/>
              <w:numPr>
                <w:ilvl w:val="0"/>
                <w:numId w:val="17"/>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创建企业在基础设施、管理体系、能源资源投入、 产品、环境排放等方面具有一定优势和鲜 明特色，实现用地集约化、原料无害化、生产洁净化、废物资源化、能源低碳化等。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footerReference r:id="rId4" w:type="default"/>
      <w:pgSz w:w="7314" w:h="10376"/>
      <w:pgMar w:top="1191" w:right="850" w:bottom="1020" w:left="850" w:header="851" w:footer="45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F755B-B5AC-44E6-98CA-B35FE99DDB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ED2A4EFC-0A10-4F82-A8C0-42F43905DAEC}"/>
  </w:font>
  <w:font w:name="方正楷体简体">
    <w:altName w:val="宋体"/>
    <w:panose1 w:val="02010601030101010101"/>
    <w:charset w:val="86"/>
    <w:family w:val="auto"/>
    <w:pitch w:val="default"/>
    <w:sig w:usb0="00000000" w:usb1="00000000" w:usb2="00000000" w:usb3="00000000" w:csb0="00040000" w:csb1="00000000"/>
    <w:embedRegular r:id="rId3" w:fontKey="{B883037F-8024-46A2-892F-F17B162283AD}"/>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sz w:val="24"/>
        <w:szCs w:val="24"/>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53975</wp:posOffset>
              </wp:positionV>
              <wp:extent cx="561340" cy="1879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34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eastAsiaTheme="minorEastAsia"/>
                              <w:sz w:val="20"/>
                              <w:szCs w:val="20"/>
                              <w:lang w:val="en-US" w:eastAsia="zh-CN"/>
                            </w:rPr>
                          </w:pPr>
                          <w:r>
                            <w:rPr>
                              <w:rFonts w:hint="eastAsia"/>
                              <w:sz w:val="20"/>
                              <w:szCs w:val="20"/>
                              <w:lang w:eastAsia="zh-CN"/>
                            </w:rPr>
                            <w:t>—</w:t>
                          </w:r>
                          <w:r>
                            <w:rPr>
                              <w:rFonts w:hint="eastAsia"/>
                              <w:sz w:val="20"/>
                              <w:szCs w:val="20"/>
                              <w:lang w:val="en-US" w:eastAsia="zh-CN"/>
                            </w:rPr>
                            <w:t xml:space="preserve"> </w:t>
                          </w:r>
                          <w:r>
                            <w:rPr>
                              <w:rFonts w:hint="eastAsia"/>
                              <w:color w:val="auto"/>
                              <w:sz w:val="20"/>
                              <w:szCs w:val="20"/>
                              <w:lang w:eastAsia="zh-CN"/>
                            </w:rPr>
                            <w:fldChar w:fldCharType="begin"/>
                          </w:r>
                          <w:r>
                            <w:rPr>
                              <w:rFonts w:hint="eastAsia"/>
                              <w:color w:val="auto"/>
                              <w:sz w:val="20"/>
                              <w:szCs w:val="20"/>
                              <w:lang w:eastAsia="zh-CN"/>
                            </w:rPr>
                            <w:instrText xml:space="preserve"> PAGE  \* MERGEFORMAT </w:instrText>
                          </w:r>
                          <w:r>
                            <w:rPr>
                              <w:rFonts w:hint="eastAsia"/>
                              <w:color w:val="auto"/>
                              <w:sz w:val="20"/>
                              <w:szCs w:val="20"/>
                              <w:lang w:eastAsia="zh-CN"/>
                            </w:rPr>
                            <w:fldChar w:fldCharType="separate"/>
                          </w:r>
                          <w:r>
                            <w:rPr>
                              <w:rFonts w:hint="eastAsia"/>
                              <w:color w:val="auto"/>
                              <w:sz w:val="20"/>
                              <w:szCs w:val="20"/>
                              <w:lang w:eastAsia="zh-CN"/>
                            </w:rPr>
                            <w:t>- 1 -</w:t>
                          </w:r>
                          <w:r>
                            <w:rPr>
                              <w:rFonts w:hint="eastAsia"/>
                              <w:color w:val="auto"/>
                              <w:sz w:val="20"/>
                              <w:szCs w:val="20"/>
                              <w:lang w:eastAsia="zh-CN"/>
                            </w:rPr>
                            <w:fldChar w:fldCharType="end"/>
                          </w:r>
                          <w:r>
                            <w:rPr>
                              <w:rFonts w:hint="eastAsia"/>
                              <w:color w:val="0000FF"/>
                              <w:sz w:val="20"/>
                              <w:szCs w:val="20"/>
                              <w:lang w:val="en-US" w:eastAsia="zh-CN"/>
                            </w:rPr>
                            <w:t xml:space="preserve"> </w:t>
                          </w:r>
                          <w:r>
                            <w:rPr>
                              <w:rFonts w:hint="eastAsia"/>
                              <w:sz w:val="20"/>
                              <w:szCs w:val="20"/>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25pt;height:14.8pt;width:44.2pt;mso-position-horizontal:outside;mso-position-horizontal-relative:margin;z-index:251659264;mso-width-relative:page;mso-height-relative:page;" filled="f" stroked="f" coordsize="21600,21600" o:gfxdata="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efEhLTAAAABAEAAA8AAAAAAAAAAQAgAAAAIgAAAGRycy9kb3ducmV2Lnht&#10;bFBLAQIUABQAAAAIAIdO4kCTT/quNwIAAGEEAAAOAAAAAAAAAAEAIAAAACIBAABkcnMvZTJvRG9j&#10;LnhtbFBLBQYAAAAABgAGAFkBAADLBQAAAAA=&#10;">
              <v:fill on="f" focussize="0,0"/>
              <v:stroke on="f" weight="0.5pt"/>
              <v:imagedata o:title=""/>
              <o:lock v:ext="edit" aspectratio="f"/>
              <v:textbox inset="0mm,0mm,0mm,0mm">
                <w:txbxContent>
                  <w:p>
                    <w:pPr>
                      <w:pStyle w:val="4"/>
                      <w:jc w:val="center"/>
                      <w:rPr>
                        <w:rFonts w:hint="default" w:eastAsiaTheme="minorEastAsia"/>
                        <w:sz w:val="20"/>
                        <w:szCs w:val="20"/>
                        <w:lang w:val="en-US" w:eastAsia="zh-CN"/>
                      </w:rPr>
                    </w:pPr>
                    <w:r>
                      <w:rPr>
                        <w:rFonts w:hint="eastAsia"/>
                        <w:sz w:val="20"/>
                        <w:szCs w:val="20"/>
                        <w:lang w:eastAsia="zh-CN"/>
                      </w:rPr>
                      <w:t>—</w:t>
                    </w:r>
                    <w:r>
                      <w:rPr>
                        <w:rFonts w:hint="eastAsia"/>
                        <w:sz w:val="20"/>
                        <w:szCs w:val="20"/>
                        <w:lang w:val="en-US" w:eastAsia="zh-CN"/>
                      </w:rPr>
                      <w:t xml:space="preserve"> </w:t>
                    </w:r>
                    <w:r>
                      <w:rPr>
                        <w:rFonts w:hint="eastAsia"/>
                        <w:color w:val="auto"/>
                        <w:sz w:val="20"/>
                        <w:szCs w:val="20"/>
                        <w:lang w:eastAsia="zh-CN"/>
                      </w:rPr>
                      <w:fldChar w:fldCharType="begin"/>
                    </w:r>
                    <w:r>
                      <w:rPr>
                        <w:rFonts w:hint="eastAsia"/>
                        <w:color w:val="auto"/>
                        <w:sz w:val="20"/>
                        <w:szCs w:val="20"/>
                        <w:lang w:eastAsia="zh-CN"/>
                      </w:rPr>
                      <w:instrText xml:space="preserve"> PAGE  \* MERGEFORMAT </w:instrText>
                    </w:r>
                    <w:r>
                      <w:rPr>
                        <w:rFonts w:hint="eastAsia"/>
                        <w:color w:val="auto"/>
                        <w:sz w:val="20"/>
                        <w:szCs w:val="20"/>
                        <w:lang w:eastAsia="zh-CN"/>
                      </w:rPr>
                      <w:fldChar w:fldCharType="separate"/>
                    </w:r>
                    <w:r>
                      <w:rPr>
                        <w:rFonts w:hint="eastAsia"/>
                        <w:color w:val="auto"/>
                        <w:sz w:val="20"/>
                        <w:szCs w:val="20"/>
                        <w:lang w:eastAsia="zh-CN"/>
                      </w:rPr>
                      <w:t>- 1 -</w:t>
                    </w:r>
                    <w:r>
                      <w:rPr>
                        <w:rFonts w:hint="eastAsia"/>
                        <w:color w:val="auto"/>
                        <w:sz w:val="20"/>
                        <w:szCs w:val="20"/>
                        <w:lang w:eastAsia="zh-CN"/>
                      </w:rPr>
                      <w:fldChar w:fldCharType="end"/>
                    </w:r>
                    <w:r>
                      <w:rPr>
                        <w:rFonts w:hint="eastAsia"/>
                        <w:color w:val="0000FF"/>
                        <w:sz w:val="20"/>
                        <w:szCs w:val="20"/>
                        <w:lang w:val="en-US" w:eastAsia="zh-CN"/>
                      </w:rPr>
                      <w:t xml:space="preserve"> </w:t>
                    </w:r>
                    <w:r>
                      <w:rPr>
                        <w:rFonts w:hint="eastAsia"/>
                        <w:sz w:val="20"/>
                        <w:szCs w:val="20"/>
                        <w:lang w:val="en-US" w:eastAsia="zh-CN"/>
                      </w:rPr>
                      <w:t>—</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238C"/>
    <w:multiLevelType w:val="singleLevel"/>
    <w:tmpl w:val="838E238C"/>
    <w:lvl w:ilvl="0" w:tentative="0">
      <w:start w:val="1"/>
      <w:numFmt w:val="decimal"/>
      <w:lvlText w:val="(%1)"/>
      <w:lvlJc w:val="left"/>
      <w:pPr>
        <w:ind w:left="425" w:hanging="425"/>
      </w:pPr>
      <w:rPr>
        <w:rFonts w:hint="default"/>
      </w:rPr>
    </w:lvl>
  </w:abstractNum>
  <w:abstractNum w:abstractNumId="1">
    <w:nsid w:val="A55064AE"/>
    <w:multiLevelType w:val="singleLevel"/>
    <w:tmpl w:val="A55064AE"/>
    <w:lvl w:ilvl="0" w:tentative="0">
      <w:start w:val="1"/>
      <w:numFmt w:val="decimal"/>
      <w:lvlText w:val="(%1)"/>
      <w:lvlJc w:val="left"/>
      <w:pPr>
        <w:ind w:left="425" w:hanging="425"/>
      </w:pPr>
      <w:rPr>
        <w:rFonts w:hint="default"/>
      </w:rPr>
    </w:lvl>
  </w:abstractNum>
  <w:abstractNum w:abstractNumId="2">
    <w:nsid w:val="AC1FC3CE"/>
    <w:multiLevelType w:val="singleLevel"/>
    <w:tmpl w:val="AC1FC3CE"/>
    <w:lvl w:ilvl="0" w:tentative="0">
      <w:start w:val="1"/>
      <w:numFmt w:val="decimal"/>
      <w:lvlText w:val="(%1)"/>
      <w:lvlJc w:val="left"/>
      <w:pPr>
        <w:ind w:left="425" w:hanging="425"/>
      </w:pPr>
      <w:rPr>
        <w:rFonts w:hint="default"/>
      </w:rPr>
    </w:lvl>
  </w:abstractNum>
  <w:abstractNum w:abstractNumId="3">
    <w:nsid w:val="B0990387"/>
    <w:multiLevelType w:val="singleLevel"/>
    <w:tmpl w:val="B0990387"/>
    <w:lvl w:ilvl="0" w:tentative="0">
      <w:start w:val="1"/>
      <w:numFmt w:val="decimal"/>
      <w:lvlText w:val="(%1)"/>
      <w:lvlJc w:val="left"/>
      <w:pPr>
        <w:ind w:left="425" w:hanging="425"/>
      </w:pPr>
      <w:rPr>
        <w:rFonts w:hint="default"/>
      </w:rPr>
    </w:lvl>
  </w:abstractNum>
  <w:abstractNum w:abstractNumId="4">
    <w:nsid w:val="C1872B67"/>
    <w:multiLevelType w:val="singleLevel"/>
    <w:tmpl w:val="C1872B67"/>
    <w:lvl w:ilvl="0" w:tentative="0">
      <w:start w:val="1"/>
      <w:numFmt w:val="decimal"/>
      <w:lvlText w:val="(%1)"/>
      <w:lvlJc w:val="left"/>
      <w:pPr>
        <w:ind w:left="425" w:hanging="425"/>
      </w:pPr>
      <w:rPr>
        <w:rFonts w:hint="default"/>
      </w:rPr>
    </w:lvl>
  </w:abstractNum>
  <w:abstractNum w:abstractNumId="5">
    <w:nsid w:val="CBF3837A"/>
    <w:multiLevelType w:val="singleLevel"/>
    <w:tmpl w:val="CBF3837A"/>
    <w:lvl w:ilvl="0" w:tentative="0">
      <w:start w:val="1"/>
      <w:numFmt w:val="decimal"/>
      <w:lvlText w:val="(%1)"/>
      <w:lvlJc w:val="left"/>
      <w:pPr>
        <w:ind w:left="425" w:hanging="425"/>
      </w:pPr>
      <w:rPr>
        <w:rFonts w:hint="default"/>
      </w:rPr>
    </w:lvl>
  </w:abstractNum>
  <w:abstractNum w:abstractNumId="6">
    <w:nsid w:val="09BBF3BE"/>
    <w:multiLevelType w:val="singleLevel"/>
    <w:tmpl w:val="09BBF3BE"/>
    <w:lvl w:ilvl="0" w:tentative="0">
      <w:start w:val="1"/>
      <w:numFmt w:val="decimal"/>
      <w:lvlText w:val="(%1)"/>
      <w:lvlJc w:val="left"/>
      <w:pPr>
        <w:ind w:left="425" w:hanging="425"/>
      </w:pPr>
      <w:rPr>
        <w:rFonts w:hint="default"/>
      </w:rPr>
    </w:lvl>
  </w:abstractNum>
  <w:abstractNum w:abstractNumId="7">
    <w:nsid w:val="1CCD9AA4"/>
    <w:multiLevelType w:val="singleLevel"/>
    <w:tmpl w:val="1CCD9AA4"/>
    <w:lvl w:ilvl="0" w:tentative="0">
      <w:start w:val="1"/>
      <w:numFmt w:val="decimal"/>
      <w:lvlText w:val="(%1)"/>
      <w:lvlJc w:val="left"/>
      <w:pPr>
        <w:ind w:left="425" w:hanging="425"/>
      </w:pPr>
      <w:rPr>
        <w:rFonts w:hint="default"/>
      </w:rPr>
    </w:lvl>
  </w:abstractNum>
  <w:abstractNum w:abstractNumId="8">
    <w:nsid w:val="1E5542A9"/>
    <w:multiLevelType w:val="singleLevel"/>
    <w:tmpl w:val="1E5542A9"/>
    <w:lvl w:ilvl="0" w:tentative="0">
      <w:start w:val="1"/>
      <w:numFmt w:val="decimal"/>
      <w:lvlText w:val="(%1)"/>
      <w:lvlJc w:val="left"/>
      <w:pPr>
        <w:ind w:left="425" w:hanging="425"/>
      </w:pPr>
      <w:rPr>
        <w:rFonts w:hint="default"/>
      </w:rPr>
    </w:lvl>
  </w:abstractNum>
  <w:abstractNum w:abstractNumId="9">
    <w:nsid w:val="30884DC8"/>
    <w:multiLevelType w:val="singleLevel"/>
    <w:tmpl w:val="30884DC8"/>
    <w:lvl w:ilvl="0" w:tentative="0">
      <w:start w:val="1"/>
      <w:numFmt w:val="decimal"/>
      <w:lvlText w:val="(%1)"/>
      <w:lvlJc w:val="left"/>
      <w:pPr>
        <w:ind w:left="425" w:hanging="425"/>
      </w:pPr>
      <w:rPr>
        <w:rFonts w:hint="default"/>
      </w:rPr>
    </w:lvl>
  </w:abstractNum>
  <w:abstractNum w:abstractNumId="10">
    <w:nsid w:val="315580BE"/>
    <w:multiLevelType w:val="singleLevel"/>
    <w:tmpl w:val="315580BE"/>
    <w:lvl w:ilvl="0" w:tentative="0">
      <w:start w:val="1"/>
      <w:numFmt w:val="decimal"/>
      <w:lvlText w:val="(%1)"/>
      <w:lvlJc w:val="left"/>
      <w:pPr>
        <w:ind w:left="425" w:hanging="425"/>
      </w:pPr>
      <w:rPr>
        <w:rFonts w:hint="default"/>
      </w:rPr>
    </w:lvl>
  </w:abstractNum>
  <w:abstractNum w:abstractNumId="11">
    <w:nsid w:val="365BBF55"/>
    <w:multiLevelType w:val="singleLevel"/>
    <w:tmpl w:val="365BBF55"/>
    <w:lvl w:ilvl="0" w:tentative="0">
      <w:start w:val="1"/>
      <w:numFmt w:val="decimal"/>
      <w:lvlText w:val="(%1)"/>
      <w:lvlJc w:val="left"/>
      <w:pPr>
        <w:ind w:left="425" w:hanging="425"/>
      </w:pPr>
      <w:rPr>
        <w:rFonts w:hint="default"/>
      </w:rPr>
    </w:lvl>
  </w:abstractNum>
  <w:abstractNum w:abstractNumId="12">
    <w:nsid w:val="3F08D16A"/>
    <w:multiLevelType w:val="singleLevel"/>
    <w:tmpl w:val="3F08D16A"/>
    <w:lvl w:ilvl="0" w:tentative="0">
      <w:start w:val="1"/>
      <w:numFmt w:val="decimal"/>
      <w:lvlText w:val="(%1)"/>
      <w:lvlJc w:val="left"/>
      <w:pPr>
        <w:ind w:left="425" w:hanging="425"/>
      </w:pPr>
      <w:rPr>
        <w:rFonts w:hint="default"/>
      </w:rPr>
    </w:lvl>
  </w:abstractNum>
  <w:abstractNum w:abstractNumId="13">
    <w:nsid w:val="525339E5"/>
    <w:multiLevelType w:val="singleLevel"/>
    <w:tmpl w:val="525339E5"/>
    <w:lvl w:ilvl="0" w:tentative="0">
      <w:start w:val="1"/>
      <w:numFmt w:val="decimal"/>
      <w:lvlText w:val="(%1)"/>
      <w:lvlJc w:val="left"/>
      <w:pPr>
        <w:ind w:left="425" w:hanging="425"/>
      </w:pPr>
      <w:rPr>
        <w:rFonts w:hint="default"/>
      </w:rPr>
    </w:lvl>
  </w:abstractNum>
  <w:abstractNum w:abstractNumId="14">
    <w:nsid w:val="6085F126"/>
    <w:multiLevelType w:val="singleLevel"/>
    <w:tmpl w:val="6085F126"/>
    <w:lvl w:ilvl="0" w:tentative="0">
      <w:start w:val="1"/>
      <w:numFmt w:val="decimal"/>
      <w:lvlText w:val="(%1)"/>
      <w:lvlJc w:val="left"/>
      <w:pPr>
        <w:ind w:left="425" w:hanging="425"/>
      </w:pPr>
      <w:rPr>
        <w:rFonts w:hint="default"/>
      </w:rPr>
    </w:lvl>
  </w:abstractNum>
  <w:abstractNum w:abstractNumId="15">
    <w:nsid w:val="688769FC"/>
    <w:multiLevelType w:val="singleLevel"/>
    <w:tmpl w:val="688769FC"/>
    <w:lvl w:ilvl="0" w:tentative="0">
      <w:start w:val="1"/>
      <w:numFmt w:val="decimal"/>
      <w:lvlText w:val="(%1)"/>
      <w:lvlJc w:val="left"/>
      <w:pPr>
        <w:ind w:left="425" w:hanging="425"/>
      </w:pPr>
      <w:rPr>
        <w:rFonts w:hint="default"/>
      </w:rPr>
    </w:lvl>
  </w:abstractNum>
  <w:abstractNum w:abstractNumId="16">
    <w:nsid w:val="73911D70"/>
    <w:multiLevelType w:val="singleLevel"/>
    <w:tmpl w:val="73911D70"/>
    <w:lvl w:ilvl="0" w:tentative="0">
      <w:start w:val="1"/>
      <w:numFmt w:val="decimal"/>
      <w:lvlText w:val="(%1)"/>
      <w:lvlJc w:val="left"/>
      <w:pPr>
        <w:ind w:left="425" w:hanging="425"/>
      </w:pPr>
      <w:rPr>
        <w:rFonts w:hint="default"/>
      </w:rPr>
    </w:lvl>
  </w:abstractNum>
  <w:num w:numId="1">
    <w:abstractNumId w:val="9"/>
  </w:num>
  <w:num w:numId="2">
    <w:abstractNumId w:val="2"/>
  </w:num>
  <w:num w:numId="3">
    <w:abstractNumId w:val="0"/>
  </w:num>
  <w:num w:numId="4">
    <w:abstractNumId w:val="4"/>
  </w:num>
  <w:num w:numId="5">
    <w:abstractNumId w:val="16"/>
  </w:num>
  <w:num w:numId="6">
    <w:abstractNumId w:val="7"/>
  </w:num>
  <w:num w:numId="7">
    <w:abstractNumId w:val="6"/>
  </w:num>
  <w:num w:numId="8">
    <w:abstractNumId w:val="11"/>
  </w:num>
  <w:num w:numId="9">
    <w:abstractNumId w:val="13"/>
  </w:num>
  <w:num w:numId="10">
    <w:abstractNumId w:val="12"/>
  </w:num>
  <w:num w:numId="11">
    <w:abstractNumId w:val="15"/>
  </w:num>
  <w:num w:numId="12">
    <w:abstractNumId w:val="3"/>
  </w:num>
  <w:num w:numId="13">
    <w:abstractNumId w:val="14"/>
  </w:num>
  <w:num w:numId="14">
    <w:abstractNumId w:val="5"/>
  </w:num>
  <w:num w:numId="15">
    <w:abstractNumId w:val="8"/>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YTljYjYyM2I3NzY2MDliYjdlYzU4MWUzZjgwYjkifQ=="/>
  </w:docVars>
  <w:rsids>
    <w:rsidRoot w:val="00172A27"/>
    <w:rsid w:val="00B43FD4"/>
    <w:rsid w:val="01161381"/>
    <w:rsid w:val="02C95F7F"/>
    <w:rsid w:val="037D56E7"/>
    <w:rsid w:val="03C569D3"/>
    <w:rsid w:val="054B35C3"/>
    <w:rsid w:val="05567AAD"/>
    <w:rsid w:val="05D9472B"/>
    <w:rsid w:val="06187D81"/>
    <w:rsid w:val="06732DD2"/>
    <w:rsid w:val="08A4470E"/>
    <w:rsid w:val="0B1A7CC0"/>
    <w:rsid w:val="0B2823DD"/>
    <w:rsid w:val="0FD50659"/>
    <w:rsid w:val="1000296C"/>
    <w:rsid w:val="10160C08"/>
    <w:rsid w:val="1045758D"/>
    <w:rsid w:val="10A019EB"/>
    <w:rsid w:val="11080E2E"/>
    <w:rsid w:val="11344BEC"/>
    <w:rsid w:val="11BD75F7"/>
    <w:rsid w:val="13BF5CFA"/>
    <w:rsid w:val="149B4EAB"/>
    <w:rsid w:val="1561245B"/>
    <w:rsid w:val="162639BD"/>
    <w:rsid w:val="162724AD"/>
    <w:rsid w:val="16B65CB6"/>
    <w:rsid w:val="16DC051F"/>
    <w:rsid w:val="1A6B4094"/>
    <w:rsid w:val="1B365892"/>
    <w:rsid w:val="1F4E38CD"/>
    <w:rsid w:val="1F745CC8"/>
    <w:rsid w:val="20B54A67"/>
    <w:rsid w:val="24D32F62"/>
    <w:rsid w:val="2728059C"/>
    <w:rsid w:val="27E575A9"/>
    <w:rsid w:val="28AF1C22"/>
    <w:rsid w:val="2C0A4D8F"/>
    <w:rsid w:val="2C6779FF"/>
    <w:rsid w:val="2CAB4975"/>
    <w:rsid w:val="2D937732"/>
    <w:rsid w:val="2D9E3FA8"/>
    <w:rsid w:val="2DEE172B"/>
    <w:rsid w:val="30722971"/>
    <w:rsid w:val="309061AB"/>
    <w:rsid w:val="315248E6"/>
    <w:rsid w:val="31B11155"/>
    <w:rsid w:val="336D14AD"/>
    <w:rsid w:val="35C41A82"/>
    <w:rsid w:val="362F5BCA"/>
    <w:rsid w:val="36D05553"/>
    <w:rsid w:val="37C231F5"/>
    <w:rsid w:val="38330D77"/>
    <w:rsid w:val="3885232D"/>
    <w:rsid w:val="39962E68"/>
    <w:rsid w:val="3D290153"/>
    <w:rsid w:val="3DDE48E6"/>
    <w:rsid w:val="3DFB44C7"/>
    <w:rsid w:val="3EDE7C44"/>
    <w:rsid w:val="40111DA6"/>
    <w:rsid w:val="405C7E57"/>
    <w:rsid w:val="40AB0497"/>
    <w:rsid w:val="44B43CDD"/>
    <w:rsid w:val="452F5B3A"/>
    <w:rsid w:val="45406505"/>
    <w:rsid w:val="47186F30"/>
    <w:rsid w:val="47220B02"/>
    <w:rsid w:val="4B517403"/>
    <w:rsid w:val="4C891FD4"/>
    <w:rsid w:val="4CC4521B"/>
    <w:rsid w:val="4D782049"/>
    <w:rsid w:val="4DB95AD0"/>
    <w:rsid w:val="4E423394"/>
    <w:rsid w:val="4FFE4ACF"/>
    <w:rsid w:val="52B640D4"/>
    <w:rsid w:val="55137322"/>
    <w:rsid w:val="55FF3307"/>
    <w:rsid w:val="57AE6D93"/>
    <w:rsid w:val="58F93005"/>
    <w:rsid w:val="5975743C"/>
    <w:rsid w:val="5B3403E8"/>
    <w:rsid w:val="5BD438BE"/>
    <w:rsid w:val="5C642116"/>
    <w:rsid w:val="5E661063"/>
    <w:rsid w:val="5F702E7B"/>
    <w:rsid w:val="5F715BC3"/>
    <w:rsid w:val="5FFB156D"/>
    <w:rsid w:val="608E59B3"/>
    <w:rsid w:val="61143CA0"/>
    <w:rsid w:val="61DE66DF"/>
    <w:rsid w:val="638E0453"/>
    <w:rsid w:val="640D3093"/>
    <w:rsid w:val="653028F3"/>
    <w:rsid w:val="660561B0"/>
    <w:rsid w:val="67A1421E"/>
    <w:rsid w:val="68140DBB"/>
    <w:rsid w:val="69E01645"/>
    <w:rsid w:val="6B597E08"/>
    <w:rsid w:val="6BCE135A"/>
    <w:rsid w:val="6C25153A"/>
    <w:rsid w:val="732A5D43"/>
    <w:rsid w:val="73B35B34"/>
    <w:rsid w:val="76AB27E5"/>
    <w:rsid w:val="776C649C"/>
    <w:rsid w:val="77CA620C"/>
    <w:rsid w:val="78EA70A7"/>
    <w:rsid w:val="79CD23A1"/>
    <w:rsid w:val="7A08012D"/>
    <w:rsid w:val="7D674C92"/>
    <w:rsid w:val="7DF41A6C"/>
    <w:rsid w:val="7E37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21"/>
    <w:basedOn w:val="9"/>
    <w:qFormat/>
    <w:uiPriority w:val="0"/>
    <w:rPr>
      <w:rFonts w:hint="eastAsia" w:ascii="宋体" w:hAnsi="宋体" w:eastAsia="宋体" w:cs="宋体"/>
      <w:color w:val="000000"/>
      <w:sz w:val="18"/>
      <w:szCs w:val="18"/>
      <w:u w:val="none"/>
    </w:rPr>
  </w:style>
  <w:style w:type="character" w:customStyle="1" w:styleId="12">
    <w:name w:val="font11"/>
    <w:basedOn w:val="9"/>
    <w:qFormat/>
    <w:uiPriority w:val="0"/>
    <w:rPr>
      <w:rFonts w:hint="default" w:ascii="Times New Roman" w:hAnsi="Times New Roman" w:cs="Times New Roman"/>
      <w:color w:val="000000"/>
      <w:sz w:val="18"/>
      <w:szCs w:val="18"/>
      <w:u w:val="none"/>
    </w:rPr>
  </w:style>
  <w:style w:type="paragraph" w:customStyle="1" w:styleId="13">
    <w:name w:val="Body Text First Indent 21"/>
    <w:basedOn w:val="14"/>
    <w:qFormat/>
    <w:uiPriority w:val="0"/>
    <w:pPr>
      <w:ind w:firstLine="420" w:firstLineChars="200"/>
    </w:pPr>
  </w:style>
  <w:style w:type="paragraph" w:customStyle="1" w:styleId="14">
    <w:name w:val="Body Text Indent1"/>
    <w:basedOn w:val="1"/>
    <w:qFormat/>
    <w:uiPriority w:val="0"/>
    <w:pPr>
      <w:ind w:left="420" w:leftChars="200"/>
    </w:pPr>
  </w:style>
  <w:style w:type="paragraph" w:customStyle="1" w:styleId="15">
    <w:name w:val="UserStyle_0"/>
    <w:basedOn w:val="1"/>
    <w:qFormat/>
    <w:uiPriority w:val="0"/>
    <w:pPr>
      <w:ind w:left="420" w:leftChars="200"/>
    </w:pPr>
    <w:rPr>
      <w:rFonts w:ascii="Calibri" w:hAnsi="Calibri" w:eastAsia="宋体" w:cs="Times New Roman"/>
      <w:sz w:val="24"/>
      <w:szCs w:val="24"/>
    </w:rPr>
  </w:style>
  <w:style w:type="character" w:customStyle="1" w:styleId="16">
    <w:name w:val="font51"/>
    <w:basedOn w:val="9"/>
    <w:qFormat/>
    <w:uiPriority w:val="0"/>
    <w:rPr>
      <w:rFonts w:hint="default" w:ascii="Arial" w:hAnsi="Arial" w:cs="Arial"/>
      <w:b/>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5888</Words>
  <Characters>6187</Characters>
  <Lines>0</Lines>
  <Paragraphs>0</Paragraphs>
  <TotalTime>3</TotalTime>
  <ScaleCrop>false</ScaleCrop>
  <LinksUpToDate>false</LinksUpToDate>
  <CharactersWithSpaces>6222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2023-01-03T01:17:00Z</dcterms:created>
  <dc:creator>黄坦</dc:creator>
  <cp:lastModifiedBy>atman</cp:lastModifiedBy>
  <cp:lastPrinted>2023-02-01T09:25:00Z</cp:lastPrinted>
  <dcterms:modified xsi:type="dcterms:W3CDTF">2023-03-10T01:19:33Z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F8738DA7A6E4474984DA068EBAABB55D</vt:lpwstr>
  </property>
</Properties>
</file>